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4B50B" w14:textId="77777777" w:rsidR="0014552E" w:rsidRPr="00A52A24" w:rsidRDefault="0014552E" w:rsidP="0014552E">
      <w:pPr>
        <w:ind w:left="851" w:right="645"/>
        <w:jc w:val="center"/>
        <w:rPr>
          <w:b/>
          <w:bCs/>
          <w:sz w:val="22"/>
          <w:szCs w:val="22"/>
        </w:rPr>
      </w:pPr>
      <w:bookmarkStart w:id="0" w:name="_Hlk201662475"/>
      <w:r w:rsidRPr="00A52A24">
        <w:rPr>
          <w:b/>
          <w:bCs/>
          <w:sz w:val="22"/>
          <w:szCs w:val="22"/>
        </w:rPr>
        <w:t>Analyzing Regional and Urban-Rural Differences in Total Children Ever Born Using Generalized Poisson-Regression Model</w:t>
      </w:r>
    </w:p>
    <w:bookmarkEnd w:id="0"/>
    <w:p w14:paraId="3F925A50" w14:textId="77777777" w:rsidR="0014552E" w:rsidRPr="00A52A24" w:rsidRDefault="0014552E" w:rsidP="0014552E">
      <w:pPr>
        <w:ind w:left="851" w:right="645"/>
        <w:jc w:val="center"/>
        <w:rPr>
          <w:sz w:val="20"/>
          <w:szCs w:val="20"/>
        </w:rPr>
      </w:pPr>
    </w:p>
    <w:p w14:paraId="6C9F7771" w14:textId="6F2BBC74" w:rsidR="0014552E" w:rsidRDefault="0014552E" w:rsidP="0014552E">
      <w:pPr>
        <w:ind w:left="851" w:right="645"/>
        <w:jc w:val="center"/>
        <w:rPr>
          <w:sz w:val="20"/>
          <w:szCs w:val="20"/>
        </w:rPr>
      </w:pPr>
      <w:proofErr w:type="spellStart"/>
      <w:r w:rsidRPr="003465CE">
        <w:rPr>
          <w:b/>
          <w:bCs/>
          <w:sz w:val="20"/>
          <w:szCs w:val="20"/>
        </w:rPr>
        <w:t>Mst</w:t>
      </w:r>
      <w:proofErr w:type="spellEnd"/>
      <w:r w:rsidRPr="003465CE">
        <w:rPr>
          <w:b/>
          <w:bCs/>
          <w:sz w:val="20"/>
          <w:szCs w:val="20"/>
        </w:rPr>
        <w:t>. Nilufar Yasmin</w:t>
      </w:r>
      <w:r w:rsidR="00B862B9">
        <w:rPr>
          <w:rStyle w:val="FootnoteReference"/>
          <w:sz w:val="20"/>
          <w:szCs w:val="20"/>
        </w:rPr>
        <w:footnoteReference w:id="1"/>
      </w:r>
    </w:p>
    <w:p w14:paraId="3CB615B9" w14:textId="77777777" w:rsidR="0014552E" w:rsidRDefault="0014552E" w:rsidP="0014552E">
      <w:pPr>
        <w:ind w:left="851" w:right="645"/>
        <w:jc w:val="center"/>
        <w:rPr>
          <w:sz w:val="18"/>
          <w:szCs w:val="18"/>
        </w:rPr>
      </w:pPr>
      <w:r w:rsidRPr="00A52A24">
        <w:rPr>
          <w:sz w:val="18"/>
          <w:szCs w:val="18"/>
        </w:rPr>
        <w:t>Department of Statistics and Data Science, Jahangirnagar University, Savar, Dhaka, Bangladesh</w:t>
      </w:r>
    </w:p>
    <w:p w14:paraId="5FC36093" w14:textId="77777777" w:rsidR="0012242E" w:rsidRDefault="0012242E" w:rsidP="0012242E">
      <w:pPr>
        <w:jc w:val="center"/>
      </w:pPr>
      <w:bookmarkStart w:id="1" w:name="_Hlk172894307"/>
      <w:r w:rsidRPr="0012242E">
        <w:rPr>
          <w:sz w:val="18"/>
          <w:szCs w:val="18"/>
        </w:rPr>
        <w:t>ORCID ID: 0009-0005-3440-1456</w:t>
      </w:r>
      <w:bookmarkEnd w:id="1"/>
    </w:p>
    <w:p w14:paraId="06C21C46" w14:textId="77777777" w:rsidR="0012242E" w:rsidRPr="00A52A24" w:rsidRDefault="0012242E" w:rsidP="0014552E">
      <w:pPr>
        <w:ind w:left="851" w:right="645"/>
        <w:jc w:val="center"/>
        <w:rPr>
          <w:sz w:val="18"/>
          <w:szCs w:val="18"/>
        </w:rPr>
      </w:pPr>
    </w:p>
    <w:p w14:paraId="423240BD" w14:textId="77777777" w:rsidR="0014552E" w:rsidRPr="003465CE" w:rsidRDefault="0014552E" w:rsidP="0014552E">
      <w:pPr>
        <w:ind w:left="851" w:right="645"/>
        <w:jc w:val="center"/>
        <w:rPr>
          <w:b/>
          <w:bCs/>
          <w:sz w:val="20"/>
          <w:szCs w:val="20"/>
        </w:rPr>
      </w:pPr>
      <w:r w:rsidRPr="00A52A24">
        <w:rPr>
          <w:sz w:val="20"/>
          <w:szCs w:val="20"/>
        </w:rPr>
        <w:t xml:space="preserve"> </w:t>
      </w:r>
      <w:r w:rsidRPr="003465CE">
        <w:rPr>
          <w:b/>
          <w:bCs/>
          <w:sz w:val="20"/>
          <w:szCs w:val="20"/>
        </w:rPr>
        <w:t xml:space="preserve">Muhammad Khairul Alam </w:t>
      </w:r>
    </w:p>
    <w:p w14:paraId="1CEA6934" w14:textId="77777777" w:rsidR="0014552E" w:rsidRDefault="0014552E" w:rsidP="0014552E">
      <w:pPr>
        <w:ind w:left="851" w:right="645"/>
        <w:jc w:val="center"/>
        <w:rPr>
          <w:sz w:val="18"/>
          <w:szCs w:val="18"/>
        </w:rPr>
      </w:pPr>
      <w:r w:rsidRPr="00A52A24">
        <w:rPr>
          <w:sz w:val="18"/>
          <w:szCs w:val="18"/>
        </w:rPr>
        <w:t>Department of Statistics and Data Science, Jahangirnagar University, Savar, Dhaka, Bangladesh</w:t>
      </w:r>
    </w:p>
    <w:p w14:paraId="451501C3" w14:textId="77777777" w:rsidR="0012242E" w:rsidRPr="00632C7F" w:rsidRDefault="0012242E" w:rsidP="0012242E">
      <w:pPr>
        <w:jc w:val="center"/>
      </w:pPr>
      <w:r w:rsidRPr="0012242E">
        <w:rPr>
          <w:sz w:val="18"/>
          <w:szCs w:val="18"/>
        </w:rPr>
        <w:t>ORCID ID: 0000-0002-4803-2648</w:t>
      </w:r>
    </w:p>
    <w:p w14:paraId="59DB172D" w14:textId="77777777" w:rsidR="0012242E" w:rsidRPr="00A52A24" w:rsidRDefault="0012242E" w:rsidP="0014552E">
      <w:pPr>
        <w:ind w:left="851" w:right="645"/>
        <w:jc w:val="center"/>
        <w:rPr>
          <w:sz w:val="18"/>
          <w:szCs w:val="18"/>
        </w:rPr>
      </w:pPr>
    </w:p>
    <w:p w14:paraId="1B640A30" w14:textId="77777777" w:rsidR="0014552E" w:rsidRPr="003465CE" w:rsidRDefault="0014552E" w:rsidP="0014552E">
      <w:pPr>
        <w:ind w:left="851" w:right="645"/>
        <w:jc w:val="center"/>
        <w:rPr>
          <w:b/>
          <w:bCs/>
          <w:sz w:val="20"/>
          <w:szCs w:val="20"/>
        </w:rPr>
      </w:pPr>
      <w:r w:rsidRPr="003465CE">
        <w:rPr>
          <w:b/>
          <w:bCs/>
          <w:sz w:val="20"/>
          <w:szCs w:val="20"/>
        </w:rPr>
        <w:t xml:space="preserve">Sabina Yasmin </w:t>
      </w:r>
    </w:p>
    <w:p w14:paraId="67E7912D" w14:textId="77777777" w:rsidR="0014552E" w:rsidRDefault="0014552E" w:rsidP="0014552E">
      <w:pPr>
        <w:ind w:left="851" w:right="645"/>
        <w:jc w:val="center"/>
        <w:rPr>
          <w:sz w:val="18"/>
          <w:szCs w:val="18"/>
        </w:rPr>
      </w:pPr>
      <w:r w:rsidRPr="00A52A24">
        <w:rPr>
          <w:sz w:val="18"/>
          <w:szCs w:val="18"/>
        </w:rPr>
        <w:t>Department of Statistics and Data Science, Jahangirnagar University, Savar, Dhaka, Bangladesh</w:t>
      </w:r>
    </w:p>
    <w:p w14:paraId="59F8BC6C" w14:textId="77777777" w:rsidR="00C26FE9" w:rsidRPr="00C26FE9" w:rsidRDefault="00C26FE9" w:rsidP="00C26FE9">
      <w:pPr>
        <w:pStyle w:val="NormalWeb"/>
        <w:spacing w:before="0" w:beforeAutospacing="0" w:after="0" w:afterAutospacing="0"/>
        <w:jc w:val="center"/>
        <w:rPr>
          <w:sz w:val="18"/>
          <w:szCs w:val="18"/>
        </w:rPr>
      </w:pPr>
      <w:r w:rsidRPr="00C26FE9">
        <w:rPr>
          <w:sz w:val="18"/>
          <w:szCs w:val="18"/>
        </w:rPr>
        <w:t>ORCID ID: 0000-0002-1917-2692</w:t>
      </w:r>
    </w:p>
    <w:p w14:paraId="4686A247" w14:textId="77777777" w:rsidR="00C945A8" w:rsidRDefault="00C945A8" w:rsidP="0014552E">
      <w:pPr>
        <w:ind w:left="851" w:right="645"/>
        <w:jc w:val="center"/>
        <w:rPr>
          <w:sz w:val="20"/>
          <w:szCs w:val="20"/>
        </w:rPr>
      </w:pPr>
    </w:p>
    <w:p w14:paraId="39B95EF6" w14:textId="1D92F1B4" w:rsidR="0014552E" w:rsidRPr="00D077A7" w:rsidRDefault="00D077A7" w:rsidP="0014552E">
      <w:pPr>
        <w:ind w:left="851" w:right="645"/>
        <w:jc w:val="center"/>
        <w:rPr>
          <w:b/>
          <w:bCs/>
          <w:sz w:val="20"/>
          <w:szCs w:val="20"/>
        </w:rPr>
      </w:pPr>
      <w:r w:rsidRPr="00D077A7">
        <w:rPr>
          <w:b/>
          <w:bCs/>
          <w:sz w:val="20"/>
          <w:szCs w:val="20"/>
        </w:rPr>
        <w:t>and</w:t>
      </w:r>
    </w:p>
    <w:p w14:paraId="177CE7A0" w14:textId="77777777" w:rsidR="0014552E" w:rsidRPr="003465CE" w:rsidRDefault="0014552E" w:rsidP="0014552E">
      <w:pPr>
        <w:ind w:left="851" w:right="645"/>
        <w:jc w:val="center"/>
        <w:rPr>
          <w:b/>
          <w:bCs/>
          <w:sz w:val="20"/>
          <w:szCs w:val="20"/>
          <w:vertAlign w:val="superscript"/>
        </w:rPr>
      </w:pPr>
      <w:r w:rsidRPr="003465CE">
        <w:rPr>
          <w:b/>
          <w:bCs/>
          <w:sz w:val="20"/>
          <w:szCs w:val="20"/>
        </w:rPr>
        <w:t xml:space="preserve">Syeda </w:t>
      </w:r>
      <w:proofErr w:type="spellStart"/>
      <w:r w:rsidRPr="003465CE">
        <w:rPr>
          <w:b/>
          <w:bCs/>
          <w:sz w:val="20"/>
          <w:szCs w:val="20"/>
        </w:rPr>
        <w:t>Shahanara</w:t>
      </w:r>
      <w:proofErr w:type="spellEnd"/>
      <w:r w:rsidRPr="003465CE">
        <w:rPr>
          <w:b/>
          <w:bCs/>
          <w:sz w:val="20"/>
          <w:szCs w:val="20"/>
        </w:rPr>
        <w:t xml:space="preserve"> Huq</w:t>
      </w:r>
    </w:p>
    <w:p w14:paraId="2DCE99F3" w14:textId="77777777" w:rsidR="0014552E" w:rsidRDefault="0014552E" w:rsidP="0014552E">
      <w:pPr>
        <w:ind w:left="851" w:right="645"/>
        <w:jc w:val="center"/>
        <w:rPr>
          <w:sz w:val="18"/>
          <w:szCs w:val="18"/>
        </w:rPr>
      </w:pPr>
      <w:r w:rsidRPr="00A52A24">
        <w:rPr>
          <w:sz w:val="18"/>
          <w:szCs w:val="18"/>
        </w:rPr>
        <w:t>Department of Statistics and Data Science, Jahangirnagar University, Savar, Dhaka, Bangladesh</w:t>
      </w:r>
    </w:p>
    <w:p w14:paraId="183D4920" w14:textId="7170A475" w:rsidR="0012242E" w:rsidRPr="00632C7F" w:rsidRDefault="0012242E" w:rsidP="0012242E">
      <w:pPr>
        <w:jc w:val="center"/>
      </w:pPr>
      <w:r w:rsidRPr="0012242E">
        <w:rPr>
          <w:sz w:val="18"/>
          <w:szCs w:val="18"/>
        </w:rPr>
        <w:t>ORCID ID:</w:t>
      </w:r>
      <w:r w:rsidRPr="00632C7F">
        <w:t xml:space="preserve"> </w:t>
      </w:r>
      <w:r w:rsidRPr="0012242E">
        <w:rPr>
          <w:sz w:val="18"/>
          <w:szCs w:val="18"/>
        </w:rPr>
        <w:t>000</w:t>
      </w:r>
      <w:r>
        <w:rPr>
          <w:sz w:val="18"/>
          <w:szCs w:val="18"/>
        </w:rPr>
        <w:t>9</w:t>
      </w:r>
      <w:r w:rsidRPr="0012242E">
        <w:rPr>
          <w:sz w:val="18"/>
          <w:szCs w:val="18"/>
        </w:rPr>
        <w:t>-000</w:t>
      </w:r>
      <w:r>
        <w:rPr>
          <w:sz w:val="18"/>
          <w:szCs w:val="18"/>
        </w:rPr>
        <w:t>0</w:t>
      </w:r>
      <w:r w:rsidRPr="0012242E">
        <w:rPr>
          <w:sz w:val="18"/>
          <w:szCs w:val="18"/>
        </w:rPr>
        <w:t>-</w:t>
      </w:r>
      <w:r>
        <w:rPr>
          <w:sz w:val="18"/>
          <w:szCs w:val="18"/>
        </w:rPr>
        <w:t>2927</w:t>
      </w:r>
      <w:r w:rsidRPr="0012242E">
        <w:rPr>
          <w:sz w:val="18"/>
          <w:szCs w:val="18"/>
        </w:rPr>
        <w:t>-</w:t>
      </w:r>
      <w:r w:rsidR="00C26FE9">
        <w:rPr>
          <w:sz w:val="18"/>
          <w:szCs w:val="18"/>
        </w:rPr>
        <w:t>3887</w:t>
      </w:r>
    </w:p>
    <w:p w14:paraId="718D81D1" w14:textId="77777777" w:rsidR="0014552E" w:rsidRPr="00A52A24" w:rsidRDefault="0014552E" w:rsidP="0014552E">
      <w:pPr>
        <w:ind w:left="851" w:right="645"/>
        <w:jc w:val="center"/>
        <w:rPr>
          <w:sz w:val="20"/>
          <w:szCs w:val="20"/>
          <w:vertAlign w:val="superscript"/>
        </w:rPr>
      </w:pPr>
    </w:p>
    <w:p w14:paraId="05016600" w14:textId="77777777" w:rsidR="0014552E" w:rsidRDefault="0014552E" w:rsidP="0014552E">
      <w:pPr>
        <w:ind w:left="851" w:right="645"/>
        <w:jc w:val="center"/>
        <w:rPr>
          <w:b/>
          <w:bCs/>
          <w:sz w:val="16"/>
          <w:szCs w:val="16"/>
        </w:rPr>
      </w:pPr>
      <w:r w:rsidRPr="00A52A24">
        <w:rPr>
          <w:b/>
          <w:bCs/>
          <w:sz w:val="16"/>
          <w:szCs w:val="16"/>
        </w:rPr>
        <w:t>Abstract</w:t>
      </w:r>
    </w:p>
    <w:p w14:paraId="233332FF" w14:textId="77777777" w:rsidR="00B862B9" w:rsidRPr="00A52A24" w:rsidRDefault="00B862B9" w:rsidP="0014552E">
      <w:pPr>
        <w:ind w:left="851" w:right="645"/>
        <w:jc w:val="center"/>
        <w:rPr>
          <w:b/>
          <w:bCs/>
          <w:sz w:val="16"/>
          <w:szCs w:val="16"/>
        </w:rPr>
      </w:pPr>
    </w:p>
    <w:p w14:paraId="21B2C0CE" w14:textId="77777777" w:rsidR="0014552E" w:rsidRPr="00A52A24" w:rsidRDefault="0014552E" w:rsidP="00E17208">
      <w:pPr>
        <w:spacing w:line="300" w:lineRule="auto"/>
        <w:ind w:left="851" w:right="646"/>
        <w:jc w:val="both"/>
        <w:rPr>
          <w:sz w:val="16"/>
          <w:szCs w:val="16"/>
        </w:rPr>
      </w:pPr>
      <w:r w:rsidRPr="00A52A24">
        <w:rPr>
          <w:sz w:val="16"/>
          <w:szCs w:val="16"/>
        </w:rPr>
        <w:t xml:space="preserve">Fertility remains a key demographic indicator with implications for population growth and socio-economic development. This study investigates the demographic, socio-economic, and regional determinants of fertility among women of reproductive age in Bangladesh using data from the 2022 Bangladesh Demographic and Health Survey (BDHS 2022). We analyzed data from 19,987 women aged 15–49 years. The outcome variable was the total number of children ever born (TCEB). A Generalized Poisson Regression Model (GPRM) was employed to count data distribution and estimate incidence rate ratios (IRRs) with 95% confidence intervals (CIs). Age was the strongest predictor of fertility, with IRRs increasing steadily across older age groups, reaching 6.34 (95% CI: 5.89–6.82) for women aged 45–49. Higher education levels were significantly associated with reduced fertility; women having higher education had 37% fewer children compared to those with no education (IRR = 0.63, 95% CI: 0.60–0.66). Muslim women, those from rural areas, and currently married or widowed women exhibited significantly higher fertility. Regional disparities were evident as Sylhet and Chattogram had experienced almost 14% higher fertility, while Khulna and </w:t>
      </w:r>
      <w:proofErr w:type="spellStart"/>
      <w:r w:rsidRPr="00A52A24">
        <w:rPr>
          <w:sz w:val="16"/>
          <w:szCs w:val="16"/>
        </w:rPr>
        <w:t>Rajshahi</w:t>
      </w:r>
      <w:proofErr w:type="spellEnd"/>
      <w:r w:rsidRPr="00A52A24">
        <w:rPr>
          <w:sz w:val="16"/>
          <w:szCs w:val="16"/>
        </w:rPr>
        <w:t xml:space="preserve"> had significantly lower rates. Although contraceptive use was positively associated with TCEB, this may indicate reverse causality, where contraception is adopted after reaching the desired family size. The study highlights significant socio-demographic and regional differences in fertility behavior in Bangladesh. These findings emphasize the need for targeted policy interventions that improve access to education </w:t>
      </w:r>
      <w:r w:rsidRPr="00A52A24">
        <w:rPr>
          <w:sz w:val="16"/>
          <w:szCs w:val="16"/>
        </w:rPr>
        <w:lastRenderedPageBreak/>
        <w:t>and reduce regional fertility disparities, ultimately supporting national and global development objectives.</w:t>
      </w:r>
    </w:p>
    <w:p w14:paraId="619B5828" w14:textId="77777777" w:rsidR="0014552E" w:rsidRPr="00A52A24" w:rsidRDefault="0014552E" w:rsidP="0014552E">
      <w:pPr>
        <w:ind w:left="851" w:right="645"/>
        <w:jc w:val="both"/>
        <w:rPr>
          <w:sz w:val="16"/>
          <w:szCs w:val="16"/>
        </w:rPr>
      </w:pPr>
    </w:p>
    <w:p w14:paraId="1F91CEA6" w14:textId="77777777" w:rsidR="0014552E" w:rsidRDefault="0014552E" w:rsidP="0014552E">
      <w:pPr>
        <w:ind w:left="851" w:right="645"/>
        <w:jc w:val="both"/>
        <w:rPr>
          <w:sz w:val="16"/>
          <w:szCs w:val="16"/>
        </w:rPr>
      </w:pPr>
      <w:r w:rsidRPr="00A52A24">
        <w:rPr>
          <w:b/>
          <w:bCs/>
          <w:sz w:val="16"/>
          <w:szCs w:val="16"/>
        </w:rPr>
        <w:t>Keywords:</w:t>
      </w:r>
      <w:r w:rsidRPr="00A52A24">
        <w:rPr>
          <w:sz w:val="16"/>
          <w:szCs w:val="16"/>
        </w:rPr>
        <w:t xml:space="preserve"> Generalized Poisson regression; Regional disparities; Total fertility rate; Total number of children ever born; Under dispersion</w:t>
      </w:r>
    </w:p>
    <w:p w14:paraId="0EB80069" w14:textId="77777777" w:rsidR="0088355B" w:rsidRPr="0088355B" w:rsidRDefault="0088355B" w:rsidP="0014552E">
      <w:pPr>
        <w:ind w:left="851" w:right="645"/>
        <w:jc w:val="both"/>
        <w:rPr>
          <w:sz w:val="20"/>
          <w:szCs w:val="20"/>
        </w:rPr>
      </w:pPr>
    </w:p>
    <w:p w14:paraId="454250CB" w14:textId="77777777" w:rsidR="0014552E" w:rsidRDefault="0014552E" w:rsidP="0014552E">
      <w:pPr>
        <w:jc w:val="both"/>
        <w:rPr>
          <w:b/>
          <w:bCs/>
          <w:sz w:val="20"/>
          <w:szCs w:val="20"/>
        </w:rPr>
      </w:pPr>
      <w:r w:rsidRPr="00A52A24">
        <w:rPr>
          <w:b/>
          <w:bCs/>
          <w:sz w:val="20"/>
          <w:szCs w:val="20"/>
        </w:rPr>
        <w:t>1. Introduction</w:t>
      </w:r>
    </w:p>
    <w:p w14:paraId="62427F32" w14:textId="77777777" w:rsidR="003465CE" w:rsidRPr="00A52A24" w:rsidRDefault="003465CE" w:rsidP="0014552E">
      <w:pPr>
        <w:jc w:val="both"/>
        <w:rPr>
          <w:b/>
          <w:bCs/>
          <w:sz w:val="20"/>
          <w:szCs w:val="20"/>
        </w:rPr>
      </w:pPr>
    </w:p>
    <w:p w14:paraId="1C224BC6" w14:textId="77777777" w:rsidR="0014552E" w:rsidRPr="00A52A24" w:rsidRDefault="0014552E" w:rsidP="00B862B9">
      <w:pPr>
        <w:spacing w:line="324" w:lineRule="auto"/>
        <w:jc w:val="both"/>
        <w:rPr>
          <w:sz w:val="20"/>
          <w:szCs w:val="20"/>
        </w:rPr>
      </w:pPr>
      <w:r w:rsidRPr="00A52A24">
        <w:rPr>
          <w:sz w:val="20"/>
          <w:szCs w:val="20"/>
        </w:rPr>
        <w:t>Fertility rate performs a pivotal role in shaping a homeland’s population size and demographic structure (Upadhyay &amp; Bhandari, 2017). Rapid population growth adversely affects socioeconomic development and contributes to child malnutrition. A key demographic indicator, the total number of children ever born (TCEB) to a woman, reflects cumulative fertility and significantly influences population size, structure, and growth. TCEB also provides critical insights into reproductive behavior and healthcare utilization, particularly in developing countries like Bangladesh (</w:t>
      </w:r>
      <w:proofErr w:type="spellStart"/>
      <w:r w:rsidRPr="00A52A24">
        <w:rPr>
          <w:sz w:val="20"/>
          <w:szCs w:val="20"/>
        </w:rPr>
        <w:t>Heliyon</w:t>
      </w:r>
      <w:proofErr w:type="spellEnd"/>
      <w:r w:rsidRPr="00A52A24">
        <w:rPr>
          <w:sz w:val="20"/>
          <w:szCs w:val="20"/>
        </w:rPr>
        <w:t xml:space="preserve">, 2023; </w:t>
      </w:r>
      <w:proofErr w:type="spellStart"/>
      <w:r w:rsidRPr="00A52A24">
        <w:rPr>
          <w:sz w:val="20"/>
          <w:szCs w:val="20"/>
        </w:rPr>
        <w:t>Bongaarts</w:t>
      </w:r>
      <w:proofErr w:type="spellEnd"/>
      <w:r w:rsidRPr="00A52A24">
        <w:rPr>
          <w:sz w:val="20"/>
          <w:szCs w:val="20"/>
        </w:rPr>
        <w:t>, 2001). Moreover, it serves as a proxy for understanding fertility transition and assessing women’s status in society (Kebede et al., 2019).</w:t>
      </w:r>
    </w:p>
    <w:p w14:paraId="6AC19E1A" w14:textId="77777777" w:rsidR="0014552E" w:rsidRPr="00A52A24" w:rsidRDefault="0014552E" w:rsidP="0014552E">
      <w:pPr>
        <w:jc w:val="both"/>
        <w:rPr>
          <w:sz w:val="20"/>
          <w:szCs w:val="20"/>
        </w:rPr>
      </w:pPr>
    </w:p>
    <w:p w14:paraId="20DB4DF9" w14:textId="77777777" w:rsidR="0014552E" w:rsidRPr="00A52A24" w:rsidRDefault="0014552E" w:rsidP="00B862B9">
      <w:pPr>
        <w:spacing w:line="324" w:lineRule="auto"/>
        <w:jc w:val="both"/>
        <w:rPr>
          <w:sz w:val="20"/>
          <w:szCs w:val="20"/>
        </w:rPr>
      </w:pPr>
      <w:r w:rsidRPr="00A52A24">
        <w:rPr>
          <w:sz w:val="20"/>
          <w:szCs w:val="20"/>
        </w:rPr>
        <w:t xml:space="preserve">Despite Bangladesh’s recent progress toward achieving near-replacement fertility levels, considerable disparities persist across regions and between urban and rural populations. These differences are shaped by socio-demographic and economic factors, including education, household wealth, residence, age, and access to reproductive health services (NIPORT &amp; ICF, 2020; Uddin et al., 2022). Women in rural areas have typically more children than their urban counterparts, primarily due to early marriage, limited access to contraception, and lower educational attainment (Tessema et al., 2021; </w:t>
      </w:r>
      <w:proofErr w:type="spellStart"/>
      <w:r w:rsidRPr="00A52A24">
        <w:rPr>
          <w:sz w:val="20"/>
          <w:szCs w:val="20"/>
        </w:rPr>
        <w:t>Heliyon</w:t>
      </w:r>
      <w:proofErr w:type="spellEnd"/>
      <w:r w:rsidRPr="00A52A24">
        <w:rPr>
          <w:sz w:val="20"/>
          <w:szCs w:val="20"/>
        </w:rPr>
        <w:t>, 2023).</w:t>
      </w:r>
    </w:p>
    <w:p w14:paraId="184B0CF8" w14:textId="77777777" w:rsidR="0014552E" w:rsidRPr="00A52A24" w:rsidRDefault="0014552E" w:rsidP="0014552E">
      <w:pPr>
        <w:jc w:val="both"/>
        <w:rPr>
          <w:sz w:val="20"/>
          <w:szCs w:val="20"/>
        </w:rPr>
      </w:pPr>
    </w:p>
    <w:p w14:paraId="123D52D3" w14:textId="77777777" w:rsidR="0014552E" w:rsidRPr="00A52A24" w:rsidRDefault="0014552E" w:rsidP="00B862B9">
      <w:pPr>
        <w:spacing w:line="324" w:lineRule="auto"/>
        <w:jc w:val="both"/>
        <w:rPr>
          <w:sz w:val="20"/>
          <w:szCs w:val="20"/>
        </w:rPr>
      </w:pPr>
      <w:r w:rsidRPr="00A52A24">
        <w:rPr>
          <w:sz w:val="20"/>
          <w:szCs w:val="20"/>
        </w:rPr>
        <w:t>Educational attainment is a major determinant of fertility behavior. Several studies have documented a negative relationship between women's education levels and fertility, as education leads to delayed marriage, greater reproductive health awareness, and improved employment opportunities (Cleland et al., 2013; Channon &amp; Harper, 2020). Similarly, household wealth is inversely associated with fertility; women from poorer households often have more children due to reduced access to health education and family planning services (Feyisetan &amp; Bankole, 2002; Khan et al., 2021). Age is also a significant predictor; older women tend to have higher parity due to prolonged exposure to reproductive risk (</w:t>
      </w:r>
      <w:proofErr w:type="spellStart"/>
      <w:r w:rsidRPr="00A52A24">
        <w:rPr>
          <w:sz w:val="20"/>
          <w:szCs w:val="20"/>
        </w:rPr>
        <w:t>Heliyon</w:t>
      </w:r>
      <w:proofErr w:type="spellEnd"/>
      <w:r w:rsidRPr="00A52A24">
        <w:rPr>
          <w:sz w:val="20"/>
          <w:szCs w:val="20"/>
        </w:rPr>
        <w:t>, 2023). Marital status and employment further influence fertility outcomes; married and unemployed women generally report higher TCEB, often due to social expectations and economic dependency (Tessema et al., 2022). Cultural norms, religious beliefs, and contraceptive prevalence contribute to regional variation in fertility patterns (Rahman et al., 2022).</w:t>
      </w:r>
    </w:p>
    <w:p w14:paraId="559F1C21" w14:textId="77777777" w:rsidR="0014552E" w:rsidRPr="00A52A24" w:rsidRDefault="0014552E" w:rsidP="0014552E">
      <w:pPr>
        <w:jc w:val="both"/>
        <w:rPr>
          <w:sz w:val="20"/>
          <w:szCs w:val="20"/>
        </w:rPr>
      </w:pPr>
    </w:p>
    <w:p w14:paraId="5406EFA9" w14:textId="77777777" w:rsidR="0014552E" w:rsidRPr="00A52A24" w:rsidRDefault="0014552E" w:rsidP="00B862B9">
      <w:pPr>
        <w:spacing w:line="324" w:lineRule="auto"/>
        <w:jc w:val="both"/>
        <w:rPr>
          <w:sz w:val="20"/>
          <w:szCs w:val="20"/>
        </w:rPr>
      </w:pPr>
      <w:r w:rsidRPr="00A52A24">
        <w:rPr>
          <w:sz w:val="20"/>
          <w:szCs w:val="20"/>
        </w:rPr>
        <w:lastRenderedPageBreak/>
        <w:t xml:space="preserve">Fertility behavior has been modeled through various statistical frameworks. For example, Barmby and </w:t>
      </w:r>
      <w:proofErr w:type="spellStart"/>
      <w:r w:rsidRPr="00A52A24">
        <w:rPr>
          <w:sz w:val="20"/>
          <w:szCs w:val="20"/>
        </w:rPr>
        <w:t>Cigno</w:t>
      </w:r>
      <w:proofErr w:type="spellEnd"/>
      <w:r w:rsidRPr="00A52A24">
        <w:rPr>
          <w:sz w:val="20"/>
          <w:szCs w:val="20"/>
        </w:rPr>
        <w:t xml:space="preserve"> (1990) used a sequential probability model, while Sobel and </w:t>
      </w:r>
      <w:proofErr w:type="spellStart"/>
      <w:r w:rsidRPr="00A52A24">
        <w:rPr>
          <w:sz w:val="20"/>
          <w:szCs w:val="20"/>
        </w:rPr>
        <w:t>Arminger</w:t>
      </w:r>
      <w:proofErr w:type="spellEnd"/>
      <w:r w:rsidRPr="00A52A24">
        <w:rPr>
          <w:sz w:val="20"/>
          <w:szCs w:val="20"/>
        </w:rPr>
        <w:t xml:space="preserve"> (1992) applied a nonlinear simultaneous probit model. However, the Poisson model assumes equal mean and variance, an assumption often violated in fertility datasets, which typically display overdispersion or </w:t>
      </w:r>
      <w:proofErr w:type="spellStart"/>
      <w:r w:rsidRPr="00A52A24">
        <w:rPr>
          <w:sz w:val="20"/>
          <w:szCs w:val="20"/>
        </w:rPr>
        <w:t>underdispersion</w:t>
      </w:r>
      <w:proofErr w:type="spellEnd"/>
      <w:r w:rsidRPr="00A52A24">
        <w:rPr>
          <w:sz w:val="20"/>
          <w:szCs w:val="20"/>
        </w:rPr>
        <w:t xml:space="preserve"> (</w:t>
      </w:r>
      <w:proofErr w:type="spellStart"/>
      <w:r w:rsidRPr="00A52A24">
        <w:rPr>
          <w:sz w:val="20"/>
          <w:szCs w:val="20"/>
        </w:rPr>
        <w:t>Ibeji</w:t>
      </w:r>
      <w:proofErr w:type="spellEnd"/>
      <w:r w:rsidRPr="00A52A24">
        <w:rPr>
          <w:sz w:val="20"/>
          <w:szCs w:val="20"/>
        </w:rPr>
        <w:t xml:space="preserve"> et al., 2020). Ignoring such dispersion can lead to biased or invalid inferences. The Generalized Poisson Regression Model (GPRM) provides a robust alternative that accommodates both </w:t>
      </w:r>
      <w:proofErr w:type="spellStart"/>
      <w:r w:rsidRPr="00A52A24">
        <w:rPr>
          <w:sz w:val="20"/>
          <w:szCs w:val="20"/>
        </w:rPr>
        <w:t>overdispersed</w:t>
      </w:r>
      <w:proofErr w:type="spellEnd"/>
      <w:r w:rsidRPr="00A52A24">
        <w:rPr>
          <w:sz w:val="20"/>
          <w:szCs w:val="20"/>
        </w:rPr>
        <w:t xml:space="preserve"> and </w:t>
      </w:r>
      <w:proofErr w:type="spellStart"/>
      <w:r w:rsidRPr="00A52A24">
        <w:rPr>
          <w:sz w:val="20"/>
          <w:szCs w:val="20"/>
        </w:rPr>
        <w:t>underdispersed</w:t>
      </w:r>
      <w:proofErr w:type="spellEnd"/>
      <w:r w:rsidRPr="00A52A24">
        <w:rPr>
          <w:sz w:val="20"/>
          <w:szCs w:val="20"/>
        </w:rPr>
        <w:t xml:space="preserve"> count data. Previous studies, including those by Ratna et al. (2011) and Akib et al., (2024) have applied GPRM to model the number of children ever born in Bangladesh. Kiser and Hossain (2018) employed zero-truncated count models for similar analyses, while Uddin et al. (2022) explored multiple socioeconomic factors influencing TCEB in the country.</w:t>
      </w:r>
    </w:p>
    <w:p w14:paraId="2924FFC9" w14:textId="77777777" w:rsidR="0014552E" w:rsidRPr="00A52A24" w:rsidRDefault="0014552E" w:rsidP="0014552E">
      <w:pPr>
        <w:jc w:val="both"/>
        <w:rPr>
          <w:sz w:val="20"/>
          <w:szCs w:val="20"/>
        </w:rPr>
      </w:pPr>
    </w:p>
    <w:p w14:paraId="0B759040" w14:textId="77777777" w:rsidR="0014552E" w:rsidRPr="00A52A24" w:rsidRDefault="0014552E" w:rsidP="00B862B9">
      <w:pPr>
        <w:spacing w:line="324" w:lineRule="auto"/>
        <w:jc w:val="both"/>
        <w:rPr>
          <w:sz w:val="20"/>
          <w:szCs w:val="20"/>
        </w:rPr>
      </w:pPr>
      <w:r w:rsidRPr="00A52A24">
        <w:rPr>
          <w:sz w:val="20"/>
          <w:szCs w:val="20"/>
        </w:rPr>
        <w:t>Among the world’s most densely inhabited countries, Bangladesh faces serious challenges related to fertility and population dynamics. Understanding spatial heterogeneity in fertility is essential for designing targeted interventions and achieving the Sustainable Development Goals (SDGs), particularly SDG 3 (Good Health and Well-Being) and SDG 5 (Gender Equality). This study intends to investigate regional and urban–rural differences and determine the drivers of TCEB using nationally representative data from the 2022 Bangladesh Demographic and Health Survey (BDHS 2022). Specifically, the study uses the Generalized Poisson Regression Model to quantify how much TCEB varies across regions and between Urban-Rural areas; these quantified differences directly inform resource allocation by identifying which regions or communities need more family planning, maternal care, or reproductive health interventions.</w:t>
      </w:r>
    </w:p>
    <w:p w14:paraId="382B8CA4" w14:textId="77777777" w:rsidR="0014552E" w:rsidRPr="00A52A24" w:rsidRDefault="0014552E" w:rsidP="0014552E">
      <w:pPr>
        <w:jc w:val="both"/>
        <w:rPr>
          <w:sz w:val="20"/>
          <w:szCs w:val="20"/>
        </w:rPr>
      </w:pPr>
    </w:p>
    <w:p w14:paraId="79BF3B8D" w14:textId="77777777" w:rsidR="0014552E" w:rsidRDefault="0014552E" w:rsidP="0014552E">
      <w:pPr>
        <w:pStyle w:val="ListParagraph"/>
        <w:numPr>
          <w:ilvl w:val="0"/>
          <w:numId w:val="16"/>
        </w:numPr>
        <w:spacing w:after="0" w:line="240" w:lineRule="auto"/>
        <w:jc w:val="both"/>
        <w:rPr>
          <w:rFonts w:ascii="Times New Roman" w:hAnsi="Times New Roman" w:cs="Times New Roman"/>
          <w:b/>
          <w:bCs/>
          <w:sz w:val="20"/>
          <w:szCs w:val="20"/>
        </w:rPr>
      </w:pPr>
      <w:r w:rsidRPr="00A52A24">
        <w:rPr>
          <w:rFonts w:ascii="Times New Roman" w:hAnsi="Times New Roman" w:cs="Times New Roman"/>
          <w:b/>
          <w:bCs/>
          <w:sz w:val="20"/>
          <w:szCs w:val="20"/>
        </w:rPr>
        <w:t>Methodology</w:t>
      </w:r>
    </w:p>
    <w:p w14:paraId="428B643F" w14:textId="77777777" w:rsidR="00B862B9" w:rsidRPr="00A52A24" w:rsidRDefault="00B862B9" w:rsidP="00B862B9">
      <w:pPr>
        <w:pStyle w:val="ListParagraph"/>
        <w:spacing w:after="0" w:line="240" w:lineRule="auto"/>
        <w:ind w:left="360"/>
        <w:jc w:val="both"/>
        <w:rPr>
          <w:rFonts w:ascii="Times New Roman" w:hAnsi="Times New Roman" w:cs="Times New Roman"/>
          <w:b/>
          <w:bCs/>
          <w:sz w:val="20"/>
          <w:szCs w:val="20"/>
        </w:rPr>
      </w:pPr>
    </w:p>
    <w:p w14:paraId="385C9778" w14:textId="77777777" w:rsidR="0014552E" w:rsidRDefault="0014552E" w:rsidP="0014552E">
      <w:pPr>
        <w:pStyle w:val="ListParagraph"/>
        <w:numPr>
          <w:ilvl w:val="1"/>
          <w:numId w:val="18"/>
        </w:numPr>
        <w:spacing w:after="0" w:line="240" w:lineRule="auto"/>
        <w:jc w:val="both"/>
        <w:rPr>
          <w:rFonts w:ascii="Times New Roman" w:hAnsi="Times New Roman" w:cs="Times New Roman"/>
          <w:b/>
          <w:bCs/>
          <w:i/>
          <w:iCs/>
          <w:sz w:val="20"/>
          <w:szCs w:val="20"/>
        </w:rPr>
      </w:pPr>
      <w:r w:rsidRPr="00A52A24">
        <w:rPr>
          <w:rFonts w:ascii="Times New Roman" w:hAnsi="Times New Roman" w:cs="Times New Roman"/>
          <w:b/>
          <w:bCs/>
          <w:i/>
          <w:iCs/>
          <w:sz w:val="20"/>
          <w:szCs w:val="20"/>
        </w:rPr>
        <w:t xml:space="preserve"> Data Source</w:t>
      </w:r>
    </w:p>
    <w:p w14:paraId="26395516" w14:textId="77777777" w:rsidR="0012069D" w:rsidRPr="00A52A24" w:rsidRDefault="0012069D" w:rsidP="0012069D">
      <w:pPr>
        <w:pStyle w:val="ListParagraph"/>
        <w:spacing w:after="0" w:line="240" w:lineRule="auto"/>
        <w:ind w:left="360"/>
        <w:jc w:val="both"/>
        <w:rPr>
          <w:rFonts w:ascii="Times New Roman" w:hAnsi="Times New Roman" w:cs="Times New Roman"/>
          <w:b/>
          <w:bCs/>
          <w:i/>
          <w:iCs/>
          <w:sz w:val="20"/>
          <w:szCs w:val="20"/>
        </w:rPr>
      </w:pPr>
    </w:p>
    <w:p w14:paraId="532BAB30" w14:textId="77777777" w:rsidR="0014552E" w:rsidRDefault="0014552E" w:rsidP="0012069D">
      <w:pPr>
        <w:spacing w:line="324" w:lineRule="auto"/>
        <w:jc w:val="both"/>
        <w:rPr>
          <w:sz w:val="20"/>
          <w:szCs w:val="20"/>
        </w:rPr>
      </w:pPr>
      <w:bookmarkStart w:id="2" w:name="_Hlk198156075"/>
      <w:r w:rsidRPr="00A52A24">
        <w:rPr>
          <w:sz w:val="20"/>
          <w:szCs w:val="20"/>
        </w:rPr>
        <w:t>A cross-sectional analytical study design was employed using nationally representative data from the Bangladesh Demographic and Health Survey (BDHS 2022</w:t>
      </w:r>
      <w:bookmarkEnd w:id="2"/>
      <w:r w:rsidRPr="00A52A24">
        <w:rPr>
          <w:sz w:val="20"/>
          <w:szCs w:val="20"/>
        </w:rPr>
        <w:t>)</w:t>
      </w:r>
      <w:r w:rsidRPr="00A52A24">
        <w:rPr>
          <w:b/>
          <w:bCs/>
          <w:sz w:val="20"/>
          <w:szCs w:val="20"/>
        </w:rPr>
        <w:t xml:space="preserve">. </w:t>
      </w:r>
      <w:bookmarkStart w:id="3" w:name="_Hlk198156116"/>
      <w:r w:rsidRPr="00A52A24">
        <w:rPr>
          <w:sz w:val="20"/>
          <w:szCs w:val="20"/>
        </w:rPr>
        <w:t>For this study, a set of 19,987 women of reproductive age (15–49 years) was used</w:t>
      </w:r>
      <w:bookmarkEnd w:id="3"/>
      <w:r w:rsidRPr="00A52A24">
        <w:rPr>
          <w:sz w:val="20"/>
          <w:szCs w:val="20"/>
        </w:rPr>
        <w:t xml:space="preserve">, with complete information on socio-demographic characteristics, reproductive history, and fertility-related indicators. Respondents with missing or inconsistent values were removed from the final analysis. </w:t>
      </w:r>
    </w:p>
    <w:p w14:paraId="4C304D14" w14:textId="77777777" w:rsidR="0012069D" w:rsidRPr="00A52A24" w:rsidRDefault="0012069D" w:rsidP="0012069D">
      <w:pPr>
        <w:spacing w:line="324" w:lineRule="auto"/>
        <w:jc w:val="both"/>
        <w:rPr>
          <w:b/>
          <w:bCs/>
          <w:sz w:val="20"/>
          <w:szCs w:val="20"/>
        </w:rPr>
      </w:pPr>
    </w:p>
    <w:p w14:paraId="4D532D0C" w14:textId="77777777" w:rsidR="0014552E" w:rsidRDefault="0014552E" w:rsidP="0014552E">
      <w:pPr>
        <w:pStyle w:val="ListParagraph"/>
        <w:numPr>
          <w:ilvl w:val="1"/>
          <w:numId w:val="18"/>
        </w:numPr>
        <w:spacing w:after="0" w:line="240" w:lineRule="auto"/>
        <w:jc w:val="both"/>
        <w:rPr>
          <w:rFonts w:ascii="Times New Roman" w:hAnsi="Times New Roman" w:cs="Times New Roman"/>
          <w:b/>
          <w:bCs/>
          <w:i/>
          <w:iCs/>
          <w:sz w:val="20"/>
          <w:szCs w:val="20"/>
        </w:rPr>
      </w:pPr>
      <w:r w:rsidRPr="00A52A24">
        <w:rPr>
          <w:rFonts w:ascii="Times New Roman" w:hAnsi="Times New Roman" w:cs="Times New Roman"/>
          <w:b/>
          <w:bCs/>
          <w:i/>
          <w:iCs/>
          <w:sz w:val="20"/>
          <w:szCs w:val="20"/>
        </w:rPr>
        <w:t>Outcome Variable</w:t>
      </w:r>
    </w:p>
    <w:p w14:paraId="653F3171" w14:textId="77777777" w:rsidR="0012069D" w:rsidRPr="00A52A24" w:rsidRDefault="0012069D" w:rsidP="0012069D">
      <w:pPr>
        <w:pStyle w:val="ListParagraph"/>
        <w:spacing w:after="0" w:line="240" w:lineRule="auto"/>
        <w:ind w:left="360"/>
        <w:jc w:val="both"/>
        <w:rPr>
          <w:rFonts w:ascii="Times New Roman" w:hAnsi="Times New Roman" w:cs="Times New Roman"/>
          <w:b/>
          <w:bCs/>
          <w:i/>
          <w:iCs/>
          <w:sz w:val="20"/>
          <w:szCs w:val="20"/>
        </w:rPr>
      </w:pPr>
    </w:p>
    <w:p w14:paraId="0AF412AF" w14:textId="77777777" w:rsidR="0014552E" w:rsidRDefault="0014552E" w:rsidP="0012069D">
      <w:pPr>
        <w:spacing w:line="324" w:lineRule="auto"/>
        <w:jc w:val="both"/>
        <w:rPr>
          <w:sz w:val="20"/>
          <w:szCs w:val="20"/>
        </w:rPr>
      </w:pPr>
      <w:r w:rsidRPr="00A52A24">
        <w:rPr>
          <w:sz w:val="20"/>
          <w:szCs w:val="20"/>
        </w:rPr>
        <w:t>The dependent variable in this study is the Total Number of Children Ever Born (TCEB), a count variable representing the number of live births a woman has had in her lifetime. As a non-negative integer, this variable is well-suited for a count regression model.</w:t>
      </w:r>
    </w:p>
    <w:p w14:paraId="4D85C05B" w14:textId="77777777" w:rsidR="0012069D" w:rsidRPr="00A52A24" w:rsidRDefault="0012069D" w:rsidP="0012069D">
      <w:pPr>
        <w:spacing w:line="324" w:lineRule="auto"/>
        <w:jc w:val="both"/>
        <w:rPr>
          <w:sz w:val="20"/>
          <w:szCs w:val="20"/>
        </w:rPr>
      </w:pPr>
    </w:p>
    <w:p w14:paraId="507D7793" w14:textId="77777777" w:rsidR="0014552E" w:rsidRDefault="0014552E" w:rsidP="0014552E">
      <w:pPr>
        <w:pStyle w:val="ListParagraph"/>
        <w:numPr>
          <w:ilvl w:val="1"/>
          <w:numId w:val="18"/>
        </w:numPr>
        <w:spacing w:after="0" w:line="240" w:lineRule="auto"/>
        <w:jc w:val="both"/>
        <w:rPr>
          <w:rFonts w:ascii="Times New Roman" w:hAnsi="Times New Roman" w:cs="Times New Roman"/>
          <w:b/>
          <w:bCs/>
          <w:i/>
          <w:iCs/>
          <w:sz w:val="20"/>
          <w:szCs w:val="20"/>
        </w:rPr>
      </w:pPr>
      <w:r w:rsidRPr="00A52A24">
        <w:rPr>
          <w:rFonts w:ascii="Times New Roman" w:hAnsi="Times New Roman" w:cs="Times New Roman"/>
          <w:b/>
          <w:bCs/>
          <w:i/>
          <w:iCs/>
          <w:sz w:val="20"/>
          <w:szCs w:val="20"/>
        </w:rPr>
        <w:lastRenderedPageBreak/>
        <w:t>Independent Variables</w:t>
      </w:r>
    </w:p>
    <w:p w14:paraId="0E466D42" w14:textId="77777777" w:rsidR="0012069D" w:rsidRPr="00A52A24" w:rsidRDefault="0012069D" w:rsidP="0012069D">
      <w:pPr>
        <w:pStyle w:val="ListParagraph"/>
        <w:spacing w:after="0" w:line="240" w:lineRule="auto"/>
        <w:ind w:left="360"/>
        <w:jc w:val="both"/>
        <w:rPr>
          <w:rFonts w:ascii="Times New Roman" w:hAnsi="Times New Roman" w:cs="Times New Roman"/>
          <w:b/>
          <w:bCs/>
          <w:i/>
          <w:iCs/>
          <w:sz w:val="20"/>
          <w:szCs w:val="20"/>
        </w:rPr>
      </w:pPr>
    </w:p>
    <w:p w14:paraId="78611E7C" w14:textId="77777777" w:rsidR="0014552E" w:rsidRDefault="0014552E" w:rsidP="0012069D">
      <w:pPr>
        <w:spacing w:line="324" w:lineRule="auto"/>
        <w:jc w:val="both"/>
        <w:rPr>
          <w:sz w:val="20"/>
          <w:szCs w:val="20"/>
        </w:rPr>
      </w:pPr>
      <w:r w:rsidRPr="00A52A24">
        <w:rPr>
          <w:sz w:val="20"/>
          <w:szCs w:val="20"/>
        </w:rPr>
        <w:t>Independent variables included key socio-demographic and household characteristics: respondent’s age (in years), education level, place of residence (Rural-Urban), wealth, religion, region, contraceptive use, and current marital status. Variables were recoded and categorized, making them appropriate for modeling.</w:t>
      </w:r>
    </w:p>
    <w:p w14:paraId="1A7D5558" w14:textId="77777777" w:rsidR="00C363DE" w:rsidRPr="00C363DE" w:rsidRDefault="00C363DE" w:rsidP="0012069D">
      <w:pPr>
        <w:spacing w:line="324" w:lineRule="auto"/>
        <w:jc w:val="both"/>
        <w:rPr>
          <w:sz w:val="10"/>
          <w:szCs w:val="10"/>
        </w:rPr>
      </w:pPr>
    </w:p>
    <w:p w14:paraId="40DB8451" w14:textId="77777777" w:rsidR="0014552E" w:rsidRDefault="0014552E" w:rsidP="0014552E">
      <w:pPr>
        <w:pStyle w:val="ListParagraph"/>
        <w:numPr>
          <w:ilvl w:val="1"/>
          <w:numId w:val="18"/>
        </w:numPr>
        <w:spacing w:after="0" w:line="240" w:lineRule="auto"/>
        <w:jc w:val="both"/>
        <w:rPr>
          <w:rFonts w:ascii="Times New Roman" w:hAnsi="Times New Roman" w:cs="Times New Roman"/>
          <w:b/>
          <w:bCs/>
          <w:i/>
          <w:iCs/>
          <w:sz w:val="20"/>
          <w:szCs w:val="20"/>
        </w:rPr>
      </w:pPr>
      <w:r w:rsidRPr="00A52A24">
        <w:rPr>
          <w:rFonts w:ascii="Times New Roman" w:hAnsi="Times New Roman" w:cs="Times New Roman"/>
          <w:b/>
          <w:bCs/>
          <w:i/>
          <w:iCs/>
          <w:sz w:val="20"/>
          <w:szCs w:val="20"/>
        </w:rPr>
        <w:t>Statistical Methods</w:t>
      </w:r>
    </w:p>
    <w:p w14:paraId="1AE500A6" w14:textId="77777777" w:rsidR="0012069D" w:rsidRPr="00A52A24" w:rsidRDefault="0012069D" w:rsidP="0012069D">
      <w:pPr>
        <w:pStyle w:val="ListParagraph"/>
        <w:spacing w:after="0" w:line="240" w:lineRule="auto"/>
        <w:ind w:left="360"/>
        <w:jc w:val="both"/>
        <w:rPr>
          <w:rFonts w:ascii="Times New Roman" w:hAnsi="Times New Roman" w:cs="Times New Roman"/>
          <w:b/>
          <w:bCs/>
          <w:i/>
          <w:iCs/>
          <w:sz w:val="20"/>
          <w:szCs w:val="20"/>
        </w:rPr>
      </w:pPr>
    </w:p>
    <w:p w14:paraId="406FE846" w14:textId="77777777" w:rsidR="0014552E" w:rsidRDefault="0014552E" w:rsidP="003F223F">
      <w:pPr>
        <w:spacing w:line="324" w:lineRule="auto"/>
        <w:jc w:val="both"/>
        <w:rPr>
          <w:sz w:val="20"/>
          <w:szCs w:val="20"/>
        </w:rPr>
      </w:pPr>
      <w:r w:rsidRPr="00A52A24">
        <w:rPr>
          <w:sz w:val="20"/>
          <w:szCs w:val="20"/>
        </w:rPr>
        <w:t xml:space="preserve">A count generalized Poisson dependent variable </w:t>
      </w:r>
      <m:oMath>
        <m:r>
          <w:rPr>
            <w:rFonts w:ascii="Cambria Math" w:eastAsiaTheme="minorEastAsia" w:hAnsi="Cambria Math"/>
            <w:sz w:val="20"/>
            <w:szCs w:val="20"/>
          </w:rPr>
          <m:t>Y</m:t>
        </m:r>
      </m:oMath>
      <w:r w:rsidRPr="00A52A24">
        <w:rPr>
          <w:rFonts w:eastAsiaTheme="minorEastAsia"/>
          <w:sz w:val="20"/>
          <w:szCs w:val="20"/>
          <w:vertAlign w:val="subscript"/>
        </w:rPr>
        <w:t>i</w:t>
      </w:r>
      <m:oMath>
        <m:r>
          <w:rPr>
            <w:rFonts w:ascii="Cambria Math" w:eastAsiaTheme="minorEastAsia" w:hAnsi="Cambria Math"/>
            <w:sz w:val="20"/>
            <w:szCs w:val="20"/>
          </w:rPr>
          <m:t xml:space="preserve"> (i = 1, 2,…)</m:t>
        </m:r>
      </m:oMath>
      <w:r w:rsidRPr="00A52A24">
        <w:rPr>
          <w:sz w:val="20"/>
          <w:szCs w:val="20"/>
        </w:rPr>
        <w:t xml:space="preserve"> has the following probability mass function</w:t>
      </w:r>
      <w:r w:rsidRPr="00A52A24">
        <w:rPr>
          <w:sz w:val="20"/>
          <w:szCs w:val="20"/>
          <w:vertAlign w:val="superscript"/>
        </w:rPr>
        <w:t xml:space="preserve"> </w:t>
      </w:r>
      <w:r w:rsidRPr="00A52A24">
        <w:rPr>
          <w:sz w:val="20"/>
          <w:szCs w:val="20"/>
        </w:rPr>
        <w:t>(</w:t>
      </w:r>
      <w:proofErr w:type="spellStart"/>
      <w:r w:rsidRPr="00A52A24">
        <w:rPr>
          <w:sz w:val="20"/>
          <w:szCs w:val="20"/>
        </w:rPr>
        <w:t>Famoye</w:t>
      </w:r>
      <w:proofErr w:type="spellEnd"/>
      <w:r w:rsidRPr="00A52A24">
        <w:rPr>
          <w:sz w:val="20"/>
          <w:szCs w:val="20"/>
        </w:rPr>
        <w:t>, 1993):</w:t>
      </w:r>
    </w:p>
    <w:p w14:paraId="334479EB" w14:textId="77777777" w:rsidR="003F223F" w:rsidRPr="00A52A24" w:rsidRDefault="003F223F" w:rsidP="003F223F">
      <w:pPr>
        <w:spacing w:line="324" w:lineRule="auto"/>
        <w:jc w:val="both"/>
        <w:rPr>
          <w:sz w:val="20"/>
          <w:szCs w:val="20"/>
        </w:rPr>
      </w:pPr>
    </w:p>
    <w:p w14:paraId="202E9EE5" w14:textId="77777777" w:rsidR="0014552E" w:rsidRDefault="0014552E" w:rsidP="003F223F">
      <w:pPr>
        <w:ind w:firstLine="720"/>
        <w:jc w:val="both"/>
        <w:rPr>
          <w:rFonts w:eastAsiaTheme="minorEastAsia"/>
          <w:sz w:val="20"/>
          <w:szCs w:val="20"/>
        </w:rPr>
      </w:pPr>
      <m:oMath>
        <m:r>
          <w:rPr>
            <w:rFonts w:ascii="Cambria Math" w:hAnsi="Cambria Math"/>
            <w:sz w:val="20"/>
            <w:szCs w:val="20"/>
          </w:rPr>
          <m:t>f</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i</m:t>
                </m:r>
              </m:sub>
            </m:sSub>
            <m:r>
              <w:rPr>
                <w:rFonts w:ascii="Cambria Math" w:hAnsi="Cambria Math"/>
                <w:sz w:val="20"/>
                <w:szCs w:val="20"/>
              </w:rPr>
              <m:t>;α</m:t>
            </m:r>
          </m:e>
        </m:d>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i</m:t>
                </m:r>
              </m:sub>
            </m:sSub>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1+α</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d>
              </m:e>
              <m:sup>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-1</m:t>
                </m:r>
              </m:sup>
            </m:sSup>
          </m:num>
          <m:den>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den>
        </m:f>
        <m:func>
          <m:funcPr>
            <m:ctrlPr>
              <w:rPr>
                <w:rFonts w:ascii="Cambria Math" w:hAnsi="Cambria Math"/>
                <w:sz w:val="20"/>
                <w:szCs w:val="20"/>
              </w:rPr>
            </m:ctrlPr>
          </m:funcPr>
          <m:fName>
            <m:r>
              <m:rPr>
                <m:sty m:val="p"/>
              </m:rPr>
              <w:rPr>
                <w:rFonts w:ascii="Cambria Math" w:hAnsi="Cambria Math"/>
                <w:sz w:val="20"/>
                <w:szCs w:val="20"/>
              </w:rPr>
              <m:t>exp</m:t>
            </m:r>
            <m:ctrlPr>
              <w:rPr>
                <w:rFonts w:ascii="Cambria Math" w:hAnsi="Cambria Math"/>
                <w:i/>
                <w:sz w:val="20"/>
                <w:szCs w:val="20"/>
              </w:rPr>
            </m:ctrlPr>
          </m:fName>
          <m:e>
            <m:d>
              <m:dPr>
                <m:ctrlPr>
                  <w:rPr>
                    <w:rFonts w:ascii="Cambria Math" w:hAnsi="Cambria Math"/>
                    <w:i/>
                    <w:sz w:val="20"/>
                    <w:szCs w:val="20"/>
                  </w:rPr>
                </m:ctrlPr>
              </m:dPr>
              <m:e>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i</m:t>
                        </m:r>
                      </m:sub>
                    </m:sSub>
                    <m:d>
                      <m:dPr>
                        <m:ctrlPr>
                          <w:rPr>
                            <w:rFonts w:ascii="Cambria Math" w:hAnsi="Cambria Math"/>
                            <w:i/>
                            <w:sz w:val="20"/>
                            <w:szCs w:val="20"/>
                          </w:rPr>
                        </m:ctrlPr>
                      </m:dPr>
                      <m:e>
                        <m:r>
                          <w:rPr>
                            <w:rFonts w:ascii="Cambria Math" w:hAnsi="Cambria Math"/>
                            <w:sz w:val="20"/>
                            <w:szCs w:val="20"/>
                          </w:rPr>
                          <m:t>1+α</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d>
                  </m:num>
                  <m:den>
                    <m:r>
                      <w:rPr>
                        <w:rFonts w:ascii="Cambria Math" w:hAnsi="Cambria Math"/>
                        <w:sz w:val="20"/>
                        <w:szCs w:val="20"/>
                      </w:rPr>
                      <m:t>1+α</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den>
                </m:f>
              </m:e>
            </m:d>
          </m:e>
        </m:func>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=0,1,2,…</m:t>
        </m:r>
      </m:oMath>
      <w:r w:rsidRPr="00A52A24">
        <w:rPr>
          <w:rFonts w:eastAsiaTheme="minorEastAsia"/>
          <w:sz w:val="20"/>
          <w:szCs w:val="20"/>
        </w:rPr>
        <w:t>;</w:t>
      </w:r>
      <w:r w:rsidRPr="00A52A24">
        <w:rPr>
          <w:rFonts w:eastAsiaTheme="minorEastAsia"/>
          <w:sz w:val="20"/>
          <w:szCs w:val="20"/>
        </w:rPr>
        <w:tab/>
      </w:r>
      <w:r w:rsidRPr="00A52A24">
        <w:rPr>
          <w:rFonts w:eastAsiaTheme="minorEastAsia"/>
          <w:sz w:val="20"/>
          <w:szCs w:val="20"/>
        </w:rPr>
        <w:tab/>
      </w:r>
      <w:r w:rsidRPr="00A52A24">
        <w:rPr>
          <w:rFonts w:eastAsiaTheme="minorEastAsia"/>
          <w:sz w:val="20"/>
          <w:szCs w:val="20"/>
        </w:rPr>
        <w:tab/>
        <w:t>(1)</w:t>
      </w:r>
    </w:p>
    <w:p w14:paraId="2FA55FC5" w14:textId="77777777" w:rsidR="003F223F" w:rsidRPr="00A52A24" w:rsidRDefault="003F223F" w:rsidP="003F223F">
      <w:pPr>
        <w:ind w:firstLine="720"/>
        <w:jc w:val="both"/>
        <w:rPr>
          <w:rFonts w:eastAsiaTheme="minorEastAsia"/>
          <w:sz w:val="20"/>
          <w:szCs w:val="20"/>
        </w:rPr>
      </w:pPr>
    </w:p>
    <w:p w14:paraId="51BCC37D" w14:textId="77777777" w:rsidR="003F223F" w:rsidRDefault="0014552E" w:rsidP="003F223F">
      <w:pPr>
        <w:ind w:firstLine="720"/>
        <w:jc w:val="both"/>
        <w:rPr>
          <w:rFonts w:eastAsiaTheme="minorEastAsia"/>
          <w:sz w:val="20"/>
          <w:szCs w:val="20"/>
        </w:rPr>
      </w:pPr>
      <m:oMath>
        <m:r>
          <m:rPr>
            <m:sty m:val="p"/>
          </m:rPr>
          <w:rPr>
            <w:rFonts w:ascii="Cambria Math" w:hAnsi="Cambria Math"/>
            <w:sz w:val="20"/>
            <w:szCs w:val="20"/>
          </w:rPr>
          <m:t>and</m:t>
        </m:r>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i</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e>
        </m:d>
        <m:r>
          <w:rPr>
            <w:rFonts w:ascii="Cambria Math" w:hAnsi="Cambria Math"/>
            <w:sz w:val="20"/>
            <w:szCs w:val="20"/>
          </w:rPr>
          <m:t>=</m:t>
        </m:r>
        <m:r>
          <m:rPr>
            <m:sty m:val="p"/>
          </m:rPr>
          <w:rPr>
            <w:rFonts w:ascii="Cambria Math" w:hAnsi="Cambria Math"/>
            <w:sz w:val="20"/>
            <w:szCs w:val="20"/>
          </w:rPr>
          <m:t>exp⁡</m:t>
        </m:r>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e>
          <m:sup>
            <m:r>
              <w:rPr>
                <w:rFonts w:ascii="Cambria Math" w:hAnsi="Cambria Math"/>
                <w:sz w:val="20"/>
                <w:szCs w:val="20"/>
              </w:rPr>
              <m:t>T</m:t>
            </m:r>
          </m:sup>
        </m:sSup>
        <m:r>
          <w:rPr>
            <w:rFonts w:ascii="Cambria Math" w:hAnsi="Cambria Math"/>
            <w:sz w:val="20"/>
            <w:szCs w:val="20"/>
          </w:rPr>
          <m:t>β)</m:t>
        </m:r>
      </m:oMath>
      <w:r w:rsidRPr="00A52A24">
        <w:rPr>
          <w:rFonts w:eastAsiaTheme="minorEastAsia"/>
          <w:sz w:val="20"/>
          <w:szCs w:val="20"/>
        </w:rPr>
        <w:t>,</w:t>
      </w:r>
      <w:r w:rsidRPr="00A52A24">
        <w:rPr>
          <w:rFonts w:eastAsiaTheme="minorEastAsia"/>
          <w:sz w:val="20"/>
          <w:szCs w:val="20"/>
        </w:rPr>
        <w:tab/>
      </w:r>
    </w:p>
    <w:p w14:paraId="37928C63" w14:textId="0F693256" w:rsidR="0014552E" w:rsidRPr="00A52A24" w:rsidRDefault="0014552E" w:rsidP="0014552E">
      <w:pPr>
        <w:jc w:val="both"/>
        <w:rPr>
          <w:sz w:val="20"/>
          <w:szCs w:val="20"/>
        </w:rPr>
      </w:pPr>
      <w:r w:rsidRPr="00A52A24">
        <w:rPr>
          <w:rFonts w:eastAsiaTheme="minorEastAsia"/>
          <w:sz w:val="20"/>
          <w:szCs w:val="20"/>
        </w:rPr>
        <w:tab/>
      </w:r>
      <w:r w:rsidRPr="00A52A24">
        <w:rPr>
          <w:rFonts w:eastAsiaTheme="minorEastAsia"/>
          <w:sz w:val="20"/>
          <w:szCs w:val="20"/>
        </w:rPr>
        <w:tab/>
      </w:r>
      <w:r w:rsidRPr="00A52A24">
        <w:rPr>
          <w:rFonts w:eastAsiaTheme="minorEastAsia"/>
          <w:sz w:val="20"/>
          <w:szCs w:val="20"/>
        </w:rPr>
        <w:tab/>
      </w:r>
      <w:r w:rsidRPr="00A52A24">
        <w:rPr>
          <w:rFonts w:eastAsiaTheme="minorEastAsia"/>
          <w:sz w:val="20"/>
          <w:szCs w:val="20"/>
        </w:rPr>
        <w:tab/>
      </w:r>
    </w:p>
    <w:p w14:paraId="0C20799A" w14:textId="77777777" w:rsidR="0014552E" w:rsidRDefault="0014552E" w:rsidP="0014552E">
      <w:pPr>
        <w:jc w:val="both"/>
        <w:rPr>
          <w:rFonts w:eastAsiaTheme="minorEastAsia"/>
          <w:sz w:val="20"/>
          <w:szCs w:val="20"/>
        </w:rPr>
      </w:pPr>
      <w:r w:rsidRPr="00A52A24">
        <w:rPr>
          <w:sz w:val="20"/>
          <w:szCs w:val="20"/>
        </w:rPr>
        <w:t>where,</w:t>
      </w:r>
      <w:r w:rsidRPr="00A52A24">
        <w:rPr>
          <w:b/>
          <w:bCs/>
          <w:sz w:val="20"/>
          <w:szCs w:val="20"/>
        </w:rPr>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 xml:space="preserve"> </m:t>
        </m:r>
      </m:oMath>
      <w:r w:rsidRPr="00A52A24">
        <w:rPr>
          <w:rFonts w:eastAsiaTheme="minorEastAsia"/>
          <w:sz w:val="20"/>
          <w:szCs w:val="20"/>
        </w:rPr>
        <w:t xml:space="preserve">is the vector of covariates and </w:t>
      </w:r>
      <m:oMath>
        <m:r>
          <w:rPr>
            <w:rFonts w:ascii="Cambria Math" w:hAnsi="Cambria Math"/>
            <w:sz w:val="20"/>
            <w:szCs w:val="20"/>
          </w:rPr>
          <m:t>β</m:t>
        </m:r>
      </m:oMath>
      <w:r w:rsidRPr="00A52A24">
        <w:rPr>
          <w:rFonts w:eastAsiaTheme="minorEastAsia"/>
          <w:sz w:val="20"/>
          <w:szCs w:val="20"/>
        </w:rPr>
        <w:t xml:space="preserve"> is the vector of regression parameters.</w:t>
      </w:r>
    </w:p>
    <w:p w14:paraId="410B5DFE" w14:textId="77777777" w:rsidR="003F223F" w:rsidRPr="00A52A24" w:rsidRDefault="003F223F" w:rsidP="0014552E">
      <w:pPr>
        <w:jc w:val="both"/>
        <w:rPr>
          <w:rFonts w:eastAsiaTheme="minorEastAsia"/>
          <w:sz w:val="20"/>
          <w:szCs w:val="20"/>
        </w:rPr>
      </w:pPr>
    </w:p>
    <w:p w14:paraId="54E5AEEF" w14:textId="77777777" w:rsidR="0014552E" w:rsidRDefault="0014552E" w:rsidP="0014552E">
      <w:pPr>
        <w:jc w:val="both"/>
        <w:rPr>
          <w:sz w:val="20"/>
          <w:szCs w:val="20"/>
        </w:rPr>
      </w:pPr>
      <w:r w:rsidRPr="00A52A24">
        <w:rPr>
          <w:sz w:val="20"/>
          <w:szCs w:val="20"/>
        </w:rPr>
        <w:t xml:space="preserve">The mean and variance of the dependent variable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oMath>
      <w:r w:rsidRPr="00A52A24">
        <w:rPr>
          <w:sz w:val="20"/>
          <w:szCs w:val="20"/>
        </w:rPr>
        <w:t xml:space="preserve"> are expressed as follows:</w:t>
      </w:r>
    </w:p>
    <w:p w14:paraId="2EC5034C" w14:textId="77777777" w:rsidR="003F223F" w:rsidRPr="00A52A24" w:rsidRDefault="003F223F" w:rsidP="0014552E">
      <w:pPr>
        <w:jc w:val="both"/>
        <w:rPr>
          <w:sz w:val="20"/>
          <w:szCs w:val="20"/>
        </w:rPr>
      </w:pPr>
    </w:p>
    <w:p w14:paraId="0A74E430" w14:textId="571C56B2" w:rsidR="0014552E" w:rsidRDefault="0014552E" w:rsidP="003F223F">
      <w:pPr>
        <w:ind w:firstLine="720"/>
        <w:jc w:val="both"/>
        <w:rPr>
          <w:rFonts w:eastAsiaTheme="minorEastAsia"/>
          <w:sz w:val="20"/>
          <w:szCs w:val="20"/>
        </w:rPr>
      </w:pPr>
      <m:oMath>
        <m:r>
          <w:rPr>
            <w:rFonts w:ascii="Cambria Math" w:hAnsi="Cambria Math"/>
            <w:sz w:val="20"/>
            <w:szCs w:val="20"/>
          </w:rPr>
          <m:t>E</m:t>
        </m:r>
        <w:bookmarkStart w:id="4" w:name="_Hlk197409142"/>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w:bookmarkEnd w:id="4"/>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i</m:t>
            </m:r>
          </m:sub>
        </m:sSub>
        <m:r>
          <w:rPr>
            <w:rFonts w:ascii="Cambria Math" w:hAnsi="Cambria Math"/>
            <w:sz w:val="20"/>
            <w:szCs w:val="20"/>
          </w:rPr>
          <m:t xml:space="preserve"> and Var(</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i</m:t>
            </m:r>
          </m:sub>
        </m:sSub>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1+α</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d>
          </m:e>
          <m:sup>
            <m:r>
              <w:rPr>
                <w:rFonts w:ascii="Cambria Math" w:hAnsi="Cambria Math"/>
                <w:sz w:val="20"/>
                <w:szCs w:val="20"/>
              </w:rPr>
              <m:t>2</m:t>
            </m:r>
          </m:sup>
        </m:sSup>
      </m:oMath>
      <w:r w:rsidRPr="00A52A24">
        <w:rPr>
          <w:rFonts w:eastAsiaTheme="minorEastAsia"/>
          <w:sz w:val="20"/>
          <w:szCs w:val="20"/>
        </w:rPr>
        <w:t>,</w:t>
      </w:r>
      <w:r w:rsidRPr="00A52A24">
        <w:rPr>
          <w:rFonts w:eastAsiaTheme="minorEastAsia"/>
          <w:sz w:val="20"/>
          <w:szCs w:val="20"/>
        </w:rPr>
        <w:tab/>
      </w:r>
      <w:r w:rsidRPr="00A52A24">
        <w:rPr>
          <w:rFonts w:eastAsiaTheme="minorEastAsia"/>
          <w:sz w:val="20"/>
          <w:szCs w:val="20"/>
        </w:rPr>
        <w:tab/>
      </w:r>
      <w:r w:rsidRPr="00A52A24">
        <w:rPr>
          <w:rFonts w:eastAsiaTheme="minorEastAsia"/>
          <w:sz w:val="20"/>
          <w:szCs w:val="20"/>
        </w:rPr>
        <w:tab/>
      </w:r>
      <w:r w:rsidRPr="00A52A24">
        <w:rPr>
          <w:rFonts w:eastAsiaTheme="minorEastAsia"/>
          <w:sz w:val="20"/>
          <w:szCs w:val="20"/>
        </w:rPr>
        <w:tab/>
      </w:r>
      <w:r w:rsidRPr="00A52A24">
        <w:rPr>
          <w:rFonts w:eastAsiaTheme="minorEastAsia"/>
          <w:sz w:val="20"/>
          <w:szCs w:val="20"/>
        </w:rPr>
        <w:tab/>
        <w:t>(2)</w:t>
      </w:r>
    </w:p>
    <w:p w14:paraId="52792AE3" w14:textId="77777777" w:rsidR="003F223F" w:rsidRPr="00A52A24" w:rsidRDefault="003F223F" w:rsidP="003F223F">
      <w:pPr>
        <w:ind w:firstLine="720"/>
        <w:jc w:val="both"/>
        <w:rPr>
          <w:rFonts w:eastAsiaTheme="minorEastAsia"/>
          <w:sz w:val="20"/>
          <w:szCs w:val="20"/>
        </w:rPr>
      </w:pPr>
    </w:p>
    <w:p w14:paraId="4162C55A" w14:textId="77777777" w:rsidR="0014552E" w:rsidRDefault="0014552E" w:rsidP="003F223F">
      <w:pPr>
        <w:spacing w:line="324" w:lineRule="auto"/>
        <w:jc w:val="both"/>
        <w:rPr>
          <w:sz w:val="20"/>
          <w:szCs w:val="20"/>
        </w:rPr>
      </w:pPr>
      <w:r w:rsidRPr="00A52A24">
        <w:rPr>
          <w:sz w:val="20"/>
          <w:szCs w:val="20"/>
        </w:rPr>
        <w:t xml:space="preserve">where, the dispersion parameter is denoted by </w:t>
      </w:r>
      <m:oMath>
        <m:r>
          <w:rPr>
            <w:rFonts w:ascii="Cambria Math" w:hAnsi="Cambria Math"/>
            <w:sz w:val="20"/>
            <w:szCs w:val="20"/>
          </w:rPr>
          <m:t>α</m:t>
        </m:r>
      </m:oMath>
      <w:r w:rsidRPr="00A52A24">
        <w:rPr>
          <w:sz w:val="20"/>
          <w:szCs w:val="20"/>
        </w:rPr>
        <w:t xml:space="preserve">. Depending on the circumstances, the GPRM functions differently: </w:t>
      </w:r>
    </w:p>
    <w:p w14:paraId="7B2BA286" w14:textId="77777777" w:rsidR="003F223F" w:rsidRPr="00A52A24" w:rsidRDefault="003F223F" w:rsidP="0014552E">
      <w:pPr>
        <w:jc w:val="both"/>
        <w:rPr>
          <w:sz w:val="20"/>
          <w:szCs w:val="20"/>
        </w:rPr>
      </w:pPr>
    </w:p>
    <w:p w14:paraId="0539E537" w14:textId="77777777" w:rsidR="0014552E" w:rsidRPr="00A52A24" w:rsidRDefault="0014552E" w:rsidP="0014552E">
      <w:pPr>
        <w:pStyle w:val="ListParagraph"/>
        <w:numPr>
          <w:ilvl w:val="0"/>
          <w:numId w:val="19"/>
        </w:numPr>
        <w:spacing w:after="0" w:line="240" w:lineRule="auto"/>
        <w:ind w:left="1080" w:hanging="630"/>
        <w:jc w:val="both"/>
        <w:rPr>
          <w:rFonts w:ascii="Times New Roman" w:hAnsi="Times New Roman" w:cs="Times New Roman"/>
          <w:sz w:val="20"/>
          <w:szCs w:val="20"/>
        </w:rPr>
      </w:pPr>
      <w:r w:rsidRPr="00A52A24">
        <w:rPr>
          <w:rFonts w:ascii="Times New Roman" w:hAnsi="Times New Roman" w:cs="Times New Roman"/>
          <w:sz w:val="20"/>
          <w:szCs w:val="20"/>
        </w:rPr>
        <w:t xml:space="preserve">when </w:t>
      </w:r>
      <m:oMath>
        <m:r>
          <w:rPr>
            <w:rFonts w:ascii="Cambria Math" w:hAnsi="Cambria Math" w:cs="Times New Roman"/>
            <w:sz w:val="20"/>
            <w:szCs w:val="20"/>
          </w:rPr>
          <m:t>α</m:t>
        </m:r>
      </m:oMath>
      <w:r w:rsidRPr="00A52A24">
        <w:rPr>
          <w:rFonts w:ascii="Times New Roman" w:hAnsi="Times New Roman" w:cs="Times New Roman"/>
          <w:sz w:val="20"/>
          <w:szCs w:val="20"/>
        </w:rPr>
        <w:t xml:space="preserve"> = 0, it turns to Poisson,</w:t>
      </w:r>
    </w:p>
    <w:p w14:paraId="191B2874" w14:textId="77777777" w:rsidR="0014552E" w:rsidRPr="00A52A24" w:rsidRDefault="0014552E" w:rsidP="0014552E">
      <w:pPr>
        <w:pStyle w:val="ListParagraph"/>
        <w:numPr>
          <w:ilvl w:val="0"/>
          <w:numId w:val="19"/>
        </w:numPr>
        <w:spacing w:after="0" w:line="240" w:lineRule="auto"/>
        <w:ind w:left="1080" w:hanging="630"/>
        <w:jc w:val="both"/>
        <w:rPr>
          <w:rFonts w:ascii="Times New Roman" w:hAnsi="Times New Roman" w:cs="Times New Roman"/>
          <w:sz w:val="20"/>
          <w:szCs w:val="20"/>
        </w:rPr>
      </w:pPr>
      <w:r w:rsidRPr="00A52A24">
        <w:rPr>
          <w:rFonts w:ascii="Times New Roman" w:hAnsi="Times New Roman" w:cs="Times New Roman"/>
          <w:sz w:val="20"/>
          <w:szCs w:val="20"/>
        </w:rPr>
        <w:t xml:space="preserve">when </w:t>
      </w:r>
      <m:oMath>
        <m:r>
          <w:rPr>
            <w:rFonts w:ascii="Cambria Math" w:hAnsi="Cambria Math" w:cs="Times New Roman"/>
            <w:sz w:val="20"/>
            <w:szCs w:val="20"/>
          </w:rPr>
          <m:t>α</m:t>
        </m:r>
      </m:oMath>
      <w:r w:rsidRPr="00A52A24">
        <w:rPr>
          <w:rFonts w:ascii="Times New Roman" w:hAnsi="Times New Roman" w:cs="Times New Roman"/>
          <w:sz w:val="20"/>
          <w:szCs w:val="20"/>
        </w:rPr>
        <w:t xml:space="preserve"> &gt; 0, it states overdispersion,</w:t>
      </w:r>
    </w:p>
    <w:p w14:paraId="41EBA9D4" w14:textId="77777777" w:rsidR="0014552E" w:rsidRDefault="0014552E" w:rsidP="0014552E">
      <w:pPr>
        <w:pStyle w:val="ListParagraph"/>
        <w:numPr>
          <w:ilvl w:val="0"/>
          <w:numId w:val="19"/>
        </w:numPr>
        <w:spacing w:after="0" w:line="240" w:lineRule="auto"/>
        <w:ind w:left="1080" w:hanging="630"/>
        <w:jc w:val="both"/>
        <w:rPr>
          <w:rFonts w:ascii="Times New Roman" w:hAnsi="Times New Roman" w:cs="Times New Roman"/>
          <w:sz w:val="20"/>
          <w:szCs w:val="20"/>
        </w:rPr>
      </w:pPr>
      <w:r w:rsidRPr="00A52A24">
        <w:rPr>
          <w:rFonts w:ascii="Times New Roman" w:hAnsi="Times New Roman" w:cs="Times New Roman"/>
          <w:sz w:val="20"/>
          <w:szCs w:val="20"/>
        </w:rPr>
        <w:t xml:space="preserve">when </w:t>
      </w:r>
      <m:oMath>
        <m:r>
          <w:rPr>
            <w:rFonts w:ascii="Cambria Math" w:hAnsi="Cambria Math" w:cs="Times New Roman"/>
            <w:sz w:val="20"/>
            <w:szCs w:val="20"/>
          </w:rPr>
          <m:t>α</m:t>
        </m:r>
      </m:oMath>
      <w:r w:rsidRPr="00A52A24">
        <w:rPr>
          <w:rFonts w:ascii="Times New Roman" w:hAnsi="Times New Roman" w:cs="Times New Roman"/>
          <w:sz w:val="20"/>
          <w:szCs w:val="20"/>
        </w:rPr>
        <w:t xml:space="preserve"> &lt; 0, it states underdispersion.</w:t>
      </w:r>
    </w:p>
    <w:p w14:paraId="25AE8C64" w14:textId="77777777" w:rsidR="003F223F" w:rsidRPr="00A52A24" w:rsidRDefault="003F223F" w:rsidP="003F223F">
      <w:pPr>
        <w:pStyle w:val="ListParagraph"/>
        <w:spacing w:after="0" w:line="240" w:lineRule="auto"/>
        <w:ind w:left="1080"/>
        <w:jc w:val="both"/>
        <w:rPr>
          <w:rFonts w:ascii="Times New Roman" w:hAnsi="Times New Roman" w:cs="Times New Roman"/>
          <w:sz w:val="20"/>
          <w:szCs w:val="20"/>
        </w:rPr>
      </w:pPr>
    </w:p>
    <w:p w14:paraId="08DF12FE" w14:textId="77777777" w:rsidR="0014552E" w:rsidRPr="00A52A24" w:rsidRDefault="0014552E" w:rsidP="003F223F">
      <w:pPr>
        <w:spacing w:line="324" w:lineRule="auto"/>
        <w:jc w:val="both"/>
        <w:rPr>
          <w:sz w:val="20"/>
          <w:szCs w:val="20"/>
        </w:rPr>
      </w:pPr>
      <w:r w:rsidRPr="00A52A24">
        <w:rPr>
          <w:sz w:val="20"/>
          <w:szCs w:val="20"/>
        </w:rPr>
        <w:t>The generalized linear model (GLM) has several useful computational properties and can be applied to different kinds of data (Levy, 2012). All statistical analyses, including data cleaning, recoding, and regression modeling, were conducted using R (4.3.2) and IBM SPSS Statistics (23).</w:t>
      </w:r>
    </w:p>
    <w:p w14:paraId="70E8601B" w14:textId="77777777" w:rsidR="0014552E" w:rsidRPr="00A52A24" w:rsidRDefault="0014552E" w:rsidP="0014552E">
      <w:pPr>
        <w:pStyle w:val="ListParagraph"/>
        <w:spacing w:after="0" w:line="240" w:lineRule="auto"/>
        <w:ind w:left="360"/>
        <w:jc w:val="both"/>
        <w:rPr>
          <w:rFonts w:ascii="Times New Roman" w:hAnsi="Times New Roman" w:cs="Times New Roman"/>
          <w:b/>
          <w:bCs/>
          <w:sz w:val="20"/>
          <w:szCs w:val="20"/>
        </w:rPr>
      </w:pPr>
    </w:p>
    <w:p w14:paraId="1DBBD0BD" w14:textId="77777777" w:rsidR="0014552E" w:rsidRDefault="0014552E" w:rsidP="0014552E">
      <w:pPr>
        <w:pStyle w:val="ListParagraph"/>
        <w:numPr>
          <w:ilvl w:val="0"/>
          <w:numId w:val="16"/>
        </w:numPr>
        <w:spacing w:after="0" w:line="240" w:lineRule="auto"/>
        <w:jc w:val="both"/>
        <w:rPr>
          <w:rFonts w:ascii="Times New Roman" w:hAnsi="Times New Roman" w:cs="Times New Roman"/>
          <w:b/>
          <w:bCs/>
          <w:sz w:val="20"/>
          <w:szCs w:val="20"/>
        </w:rPr>
      </w:pPr>
      <w:r w:rsidRPr="00A52A24">
        <w:rPr>
          <w:rFonts w:ascii="Times New Roman" w:hAnsi="Times New Roman" w:cs="Times New Roman"/>
          <w:b/>
          <w:bCs/>
          <w:sz w:val="20"/>
          <w:szCs w:val="20"/>
        </w:rPr>
        <w:t xml:space="preserve">Results </w:t>
      </w:r>
    </w:p>
    <w:p w14:paraId="169C5504" w14:textId="77777777" w:rsidR="003F223F" w:rsidRPr="00C363DE" w:rsidRDefault="003F223F" w:rsidP="003F223F">
      <w:pPr>
        <w:pStyle w:val="ListParagraph"/>
        <w:spacing w:after="0" w:line="240" w:lineRule="auto"/>
        <w:ind w:left="360"/>
        <w:jc w:val="both"/>
        <w:rPr>
          <w:rFonts w:ascii="Times New Roman" w:hAnsi="Times New Roman" w:cs="Times New Roman"/>
          <w:b/>
          <w:bCs/>
          <w:sz w:val="16"/>
          <w:szCs w:val="16"/>
        </w:rPr>
      </w:pPr>
    </w:p>
    <w:p w14:paraId="4943AFE9" w14:textId="77777777" w:rsidR="0014552E" w:rsidRDefault="0014552E" w:rsidP="003F223F">
      <w:pPr>
        <w:spacing w:line="324" w:lineRule="auto"/>
        <w:jc w:val="both"/>
        <w:rPr>
          <w:sz w:val="20"/>
          <w:szCs w:val="20"/>
        </w:rPr>
      </w:pPr>
      <w:r w:rsidRPr="00A52A24">
        <w:rPr>
          <w:sz w:val="20"/>
          <w:szCs w:val="20"/>
        </w:rPr>
        <w:t xml:space="preserve">We used eight independent variables from the BDHS 2022 datasets, such as respondents’ age (in years), education level, place of residence (Rural-Urban), wealth, religion, region, contraceptive use, and current marital status, which were found to have significant effects on the dependent variable. </w:t>
      </w:r>
    </w:p>
    <w:p w14:paraId="029B494C" w14:textId="77777777" w:rsidR="003F223F" w:rsidRDefault="003F223F" w:rsidP="0014552E">
      <w:pPr>
        <w:jc w:val="both"/>
        <w:rPr>
          <w:sz w:val="20"/>
          <w:szCs w:val="20"/>
        </w:rPr>
      </w:pPr>
    </w:p>
    <w:p w14:paraId="34C1CB6E" w14:textId="77777777" w:rsidR="0088355B" w:rsidRDefault="0088355B" w:rsidP="0014552E">
      <w:pPr>
        <w:jc w:val="both"/>
        <w:rPr>
          <w:sz w:val="20"/>
          <w:szCs w:val="20"/>
        </w:rPr>
      </w:pPr>
    </w:p>
    <w:p w14:paraId="04843F89" w14:textId="77777777" w:rsidR="0088355B" w:rsidRPr="00A52A24" w:rsidRDefault="0088355B" w:rsidP="0014552E">
      <w:pPr>
        <w:jc w:val="both"/>
        <w:rPr>
          <w:sz w:val="20"/>
          <w:szCs w:val="20"/>
        </w:rPr>
      </w:pPr>
    </w:p>
    <w:p w14:paraId="44C061E6" w14:textId="77777777" w:rsidR="0014552E" w:rsidRDefault="0014552E" w:rsidP="0014552E">
      <w:pPr>
        <w:pStyle w:val="ListParagraph"/>
        <w:numPr>
          <w:ilvl w:val="1"/>
          <w:numId w:val="17"/>
        </w:numPr>
        <w:spacing w:after="0" w:line="240" w:lineRule="auto"/>
        <w:jc w:val="both"/>
        <w:rPr>
          <w:rFonts w:ascii="Times New Roman" w:hAnsi="Times New Roman" w:cs="Times New Roman"/>
          <w:b/>
          <w:bCs/>
          <w:i/>
          <w:iCs/>
          <w:sz w:val="20"/>
          <w:szCs w:val="20"/>
        </w:rPr>
      </w:pPr>
      <w:r w:rsidRPr="00A52A24">
        <w:rPr>
          <w:rFonts w:ascii="Times New Roman" w:hAnsi="Times New Roman" w:cs="Times New Roman"/>
          <w:b/>
          <w:bCs/>
          <w:i/>
          <w:iCs/>
          <w:sz w:val="20"/>
          <w:szCs w:val="20"/>
        </w:rPr>
        <w:lastRenderedPageBreak/>
        <w:t>Demographic Characteristics</w:t>
      </w:r>
    </w:p>
    <w:p w14:paraId="146C55A9" w14:textId="77777777" w:rsidR="003F223F" w:rsidRPr="00C363DE" w:rsidRDefault="003F223F" w:rsidP="003F223F">
      <w:pPr>
        <w:pStyle w:val="ListParagraph"/>
        <w:spacing w:after="0" w:line="240" w:lineRule="auto"/>
        <w:ind w:left="360"/>
        <w:jc w:val="both"/>
        <w:rPr>
          <w:rFonts w:ascii="Times New Roman" w:hAnsi="Times New Roman" w:cs="Times New Roman"/>
          <w:b/>
          <w:bCs/>
          <w:i/>
          <w:iCs/>
          <w:sz w:val="14"/>
          <w:szCs w:val="14"/>
        </w:rPr>
      </w:pPr>
    </w:p>
    <w:p w14:paraId="23788FBF" w14:textId="77777777" w:rsidR="0014552E" w:rsidRPr="00A52A24" w:rsidRDefault="0014552E" w:rsidP="003F223F">
      <w:pPr>
        <w:spacing w:line="324" w:lineRule="auto"/>
        <w:jc w:val="both"/>
        <w:rPr>
          <w:sz w:val="20"/>
          <w:szCs w:val="20"/>
        </w:rPr>
      </w:pPr>
      <w:r w:rsidRPr="00A52A24">
        <w:rPr>
          <w:sz w:val="20"/>
          <w:szCs w:val="20"/>
        </w:rPr>
        <w:t xml:space="preserve">Table 1 shows that out of the 19,987 respondents, 64.9% resided in rural areas, while 35.1% were urban residents. According to educational attainment, 13.6% had no formal education, 26.1% had primary education, 45.7% had secondary education, and 14.6% had higher education. In terms of economic status, 42.5% were wealthy, 37.5% were poor, and 20% were middle-income. Most of the respondents were Muslim (89.7%), while 10.3% were non-Muslim. The age distribution showed that most respondents were between 20 and 39 years old, with the highest proportion in the 25–29 age group (17.7%). The lowest representation was among the 15–19 age group (8.2%) and the 45–49 age group (11.1%). Across divisions, Dhaka (15.1%), Chattogram (14.9%), and Khulna (13.0%) had the highest representation, while </w:t>
      </w:r>
      <w:proofErr w:type="spellStart"/>
      <w:r w:rsidRPr="00A52A24">
        <w:rPr>
          <w:sz w:val="20"/>
          <w:szCs w:val="20"/>
        </w:rPr>
        <w:t>Rajshahi</w:t>
      </w:r>
      <w:proofErr w:type="spellEnd"/>
      <w:r w:rsidRPr="00A52A24">
        <w:rPr>
          <w:sz w:val="20"/>
          <w:szCs w:val="20"/>
        </w:rPr>
        <w:t xml:space="preserve"> (12.7%), Rangpur (12%), Mymensingh (10.8%), </w:t>
      </w:r>
      <w:proofErr w:type="spellStart"/>
      <w:r w:rsidRPr="00A52A24">
        <w:rPr>
          <w:sz w:val="20"/>
          <w:szCs w:val="20"/>
        </w:rPr>
        <w:t>Barishal</w:t>
      </w:r>
      <w:proofErr w:type="spellEnd"/>
      <w:r w:rsidRPr="00A52A24">
        <w:rPr>
          <w:sz w:val="20"/>
          <w:szCs w:val="20"/>
        </w:rPr>
        <w:t xml:space="preserve"> (10.6%), and Sylhet (10.8%) had comparatively fewer respondents. Most of the respondents reported that the current use of contraceptives (61.3%), and most were currently married (95%). Only a small proportion were separated (0.9%), widowed (2.7%), and divorced (1.4%).</w:t>
      </w:r>
    </w:p>
    <w:p w14:paraId="632F4809" w14:textId="77777777" w:rsidR="0014552E" w:rsidRPr="00A52A24" w:rsidRDefault="0014552E" w:rsidP="0014552E">
      <w:pPr>
        <w:jc w:val="both"/>
        <w:rPr>
          <w:sz w:val="20"/>
          <w:szCs w:val="20"/>
        </w:rPr>
      </w:pPr>
    </w:p>
    <w:p w14:paraId="27EB5D35" w14:textId="30B2A7CB" w:rsidR="0014552E" w:rsidRDefault="0014552E" w:rsidP="003465CE">
      <w:pPr>
        <w:ind w:left="851" w:hanging="851"/>
        <w:jc w:val="both"/>
        <w:rPr>
          <w:sz w:val="20"/>
          <w:szCs w:val="20"/>
        </w:rPr>
      </w:pPr>
      <w:bookmarkStart w:id="5" w:name="_Toc197551926"/>
      <w:r w:rsidRPr="00A52A24">
        <w:rPr>
          <w:b/>
          <w:bCs/>
          <w:sz w:val="20"/>
          <w:szCs w:val="20"/>
        </w:rPr>
        <w:t xml:space="preserve">Table </w:t>
      </w:r>
      <w:r w:rsidRPr="00A52A24">
        <w:rPr>
          <w:b/>
          <w:bCs/>
          <w:sz w:val="20"/>
          <w:szCs w:val="20"/>
        </w:rPr>
        <w:fldChar w:fldCharType="begin"/>
      </w:r>
      <w:r w:rsidRPr="00A52A24">
        <w:rPr>
          <w:b/>
          <w:bCs/>
          <w:sz w:val="20"/>
          <w:szCs w:val="20"/>
        </w:rPr>
        <w:instrText xml:space="preserve"> SEQ Table \* ARABIC </w:instrText>
      </w:r>
      <w:r w:rsidRPr="00A52A24">
        <w:rPr>
          <w:b/>
          <w:bCs/>
          <w:sz w:val="20"/>
          <w:szCs w:val="20"/>
        </w:rPr>
        <w:fldChar w:fldCharType="separate"/>
      </w:r>
      <w:r w:rsidR="0012069D">
        <w:rPr>
          <w:b/>
          <w:bCs/>
          <w:noProof/>
          <w:sz w:val="20"/>
          <w:szCs w:val="20"/>
        </w:rPr>
        <w:t>1</w:t>
      </w:r>
      <w:r w:rsidRPr="00A52A24">
        <w:rPr>
          <w:b/>
          <w:bCs/>
          <w:sz w:val="20"/>
          <w:szCs w:val="20"/>
        </w:rPr>
        <w:fldChar w:fldCharType="end"/>
      </w:r>
      <w:r w:rsidR="003F223F">
        <w:rPr>
          <w:b/>
          <w:bCs/>
          <w:sz w:val="20"/>
          <w:szCs w:val="20"/>
        </w:rPr>
        <w:t>.</w:t>
      </w:r>
      <w:r w:rsidRPr="00A52A24">
        <w:rPr>
          <w:sz w:val="20"/>
          <w:szCs w:val="20"/>
        </w:rPr>
        <w:t xml:space="preserve"> </w:t>
      </w:r>
      <w:bookmarkEnd w:id="5"/>
      <w:r w:rsidR="003465CE">
        <w:rPr>
          <w:sz w:val="20"/>
          <w:szCs w:val="20"/>
        </w:rPr>
        <w:tab/>
      </w:r>
      <w:r w:rsidRPr="00A52A24">
        <w:rPr>
          <w:sz w:val="20"/>
          <w:szCs w:val="20"/>
        </w:rPr>
        <w:t xml:space="preserve">Socio-Demographic Characteristics of the Respondents </w:t>
      </w:r>
      <w:r w:rsidR="00C945A8">
        <w:rPr>
          <w:sz w:val="20"/>
          <w:szCs w:val="20"/>
        </w:rPr>
        <w:t>B</w:t>
      </w:r>
      <w:r w:rsidRPr="00A52A24">
        <w:rPr>
          <w:sz w:val="20"/>
          <w:szCs w:val="20"/>
        </w:rPr>
        <w:t xml:space="preserve">ased on BDHS </w:t>
      </w:r>
      <w:r w:rsidR="00C945A8">
        <w:rPr>
          <w:sz w:val="20"/>
          <w:szCs w:val="20"/>
        </w:rPr>
        <w:t>D</w:t>
      </w:r>
      <w:r w:rsidRPr="00A52A24">
        <w:rPr>
          <w:sz w:val="20"/>
          <w:szCs w:val="20"/>
        </w:rPr>
        <w:t>ata (n = 19,987).</w:t>
      </w:r>
    </w:p>
    <w:p w14:paraId="68989FE5" w14:textId="77777777" w:rsidR="003F223F" w:rsidRPr="00A52A24" w:rsidRDefault="003F223F" w:rsidP="0014552E">
      <w:pPr>
        <w:jc w:val="both"/>
        <w:rPr>
          <w:sz w:val="20"/>
          <w:szCs w:val="20"/>
        </w:rPr>
      </w:pPr>
    </w:p>
    <w:tbl>
      <w:tblPr>
        <w:tblStyle w:val="TableGrid"/>
        <w:tblW w:w="7996"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802"/>
        <w:gridCol w:w="2840"/>
        <w:gridCol w:w="2354"/>
      </w:tblGrid>
      <w:tr w:rsidR="0014552E" w:rsidRPr="00A52A24" w14:paraId="343982E4" w14:textId="77777777" w:rsidTr="001C4758">
        <w:trPr>
          <w:trHeight w:val="19"/>
          <w:tblHeader/>
        </w:trPr>
        <w:tc>
          <w:tcPr>
            <w:tcW w:w="2802" w:type="dxa"/>
          </w:tcPr>
          <w:p w14:paraId="0B638F3A" w14:textId="77777777" w:rsidR="0014552E" w:rsidRPr="00A52A24" w:rsidRDefault="0014552E" w:rsidP="00156002">
            <w:pPr>
              <w:jc w:val="both"/>
              <w:rPr>
                <w:rFonts w:ascii="Times New Roman" w:hAnsi="Times New Roman" w:cs="Times New Roman"/>
                <w:b/>
                <w:bCs/>
                <w:sz w:val="20"/>
                <w:szCs w:val="20"/>
              </w:rPr>
            </w:pPr>
            <w:r w:rsidRPr="00A52A24">
              <w:rPr>
                <w:rFonts w:ascii="Times New Roman" w:hAnsi="Times New Roman" w:cs="Times New Roman"/>
                <w:b/>
                <w:bCs/>
                <w:sz w:val="20"/>
                <w:szCs w:val="20"/>
              </w:rPr>
              <w:t>Variables</w:t>
            </w:r>
          </w:p>
        </w:tc>
        <w:tc>
          <w:tcPr>
            <w:tcW w:w="2840" w:type="dxa"/>
          </w:tcPr>
          <w:p w14:paraId="057A56CD" w14:textId="77777777" w:rsidR="0014552E" w:rsidRPr="00A52A24" w:rsidRDefault="0014552E" w:rsidP="00156002">
            <w:pPr>
              <w:jc w:val="both"/>
              <w:rPr>
                <w:rFonts w:ascii="Times New Roman" w:hAnsi="Times New Roman" w:cs="Times New Roman"/>
                <w:b/>
                <w:bCs/>
                <w:sz w:val="20"/>
                <w:szCs w:val="20"/>
              </w:rPr>
            </w:pPr>
            <w:r w:rsidRPr="00A52A24">
              <w:rPr>
                <w:rFonts w:ascii="Times New Roman" w:hAnsi="Times New Roman" w:cs="Times New Roman"/>
                <w:b/>
                <w:bCs/>
                <w:sz w:val="20"/>
                <w:szCs w:val="20"/>
              </w:rPr>
              <w:t>Category</w:t>
            </w:r>
          </w:p>
        </w:tc>
        <w:tc>
          <w:tcPr>
            <w:tcW w:w="2354" w:type="dxa"/>
          </w:tcPr>
          <w:p w14:paraId="4160A8D3" w14:textId="77777777" w:rsidR="0014552E" w:rsidRPr="00A52A24" w:rsidRDefault="0014552E" w:rsidP="00156002">
            <w:pPr>
              <w:jc w:val="both"/>
              <w:rPr>
                <w:rFonts w:ascii="Times New Roman" w:hAnsi="Times New Roman" w:cs="Times New Roman"/>
                <w:b/>
                <w:bCs/>
                <w:sz w:val="20"/>
                <w:szCs w:val="20"/>
              </w:rPr>
            </w:pPr>
            <w:r w:rsidRPr="00A52A24">
              <w:rPr>
                <w:rFonts w:ascii="Times New Roman" w:hAnsi="Times New Roman" w:cs="Times New Roman"/>
                <w:b/>
                <w:bCs/>
                <w:sz w:val="20"/>
                <w:szCs w:val="20"/>
              </w:rPr>
              <w:t xml:space="preserve">Frequency (%) </w:t>
            </w:r>
          </w:p>
        </w:tc>
      </w:tr>
      <w:tr w:rsidR="0014552E" w:rsidRPr="00A52A24" w14:paraId="09E504F6" w14:textId="77777777" w:rsidTr="001C4758">
        <w:trPr>
          <w:trHeight w:val="19"/>
        </w:trPr>
        <w:tc>
          <w:tcPr>
            <w:tcW w:w="2802" w:type="dxa"/>
          </w:tcPr>
          <w:p w14:paraId="1D5F2F4F" w14:textId="0EBCE31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Place of residence</w:t>
            </w:r>
            <w:r w:rsidRPr="00A52A24">
              <w:rPr>
                <w:rFonts w:ascii="Times New Roman" w:hAnsi="Times New Roman" w:cs="Times New Roman"/>
                <w:sz w:val="20"/>
                <w:szCs w:val="20"/>
              </w:rPr>
              <w:tab/>
            </w:r>
            <w:r w:rsidRPr="00A52A24">
              <w:rPr>
                <w:rFonts w:ascii="Times New Roman" w:hAnsi="Times New Roman" w:cs="Times New Roman"/>
                <w:sz w:val="20"/>
                <w:szCs w:val="20"/>
              </w:rPr>
              <w:tab/>
            </w:r>
            <w:r w:rsidRPr="00A52A24">
              <w:rPr>
                <w:rFonts w:ascii="Times New Roman" w:hAnsi="Times New Roman" w:cs="Times New Roman"/>
                <w:sz w:val="20"/>
                <w:szCs w:val="20"/>
              </w:rPr>
              <w:tab/>
            </w:r>
          </w:p>
        </w:tc>
        <w:tc>
          <w:tcPr>
            <w:tcW w:w="2840" w:type="dxa"/>
          </w:tcPr>
          <w:p w14:paraId="67A6B24D"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Urban</w:t>
            </w:r>
          </w:p>
          <w:p w14:paraId="0113348E"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Rural</w:t>
            </w:r>
          </w:p>
        </w:tc>
        <w:tc>
          <w:tcPr>
            <w:tcW w:w="2354" w:type="dxa"/>
          </w:tcPr>
          <w:p w14:paraId="58D3D35F"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7007 (35.1)</w:t>
            </w:r>
          </w:p>
          <w:p w14:paraId="5160CEA9"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12980 (64.9)</w:t>
            </w:r>
          </w:p>
        </w:tc>
      </w:tr>
      <w:tr w:rsidR="0014552E" w:rsidRPr="00A52A24" w14:paraId="22E091AA" w14:textId="77777777" w:rsidTr="001C4758">
        <w:trPr>
          <w:trHeight w:val="19"/>
        </w:trPr>
        <w:tc>
          <w:tcPr>
            <w:tcW w:w="2802" w:type="dxa"/>
          </w:tcPr>
          <w:p w14:paraId="31FC037F"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Education level</w:t>
            </w:r>
          </w:p>
        </w:tc>
        <w:tc>
          <w:tcPr>
            <w:tcW w:w="2840" w:type="dxa"/>
          </w:tcPr>
          <w:p w14:paraId="2C1EE67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No education</w:t>
            </w:r>
          </w:p>
          <w:p w14:paraId="387C6070"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Primary</w:t>
            </w:r>
          </w:p>
          <w:p w14:paraId="168C702C"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Secondary</w:t>
            </w:r>
          </w:p>
          <w:p w14:paraId="24B80667"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Higher</w:t>
            </w:r>
          </w:p>
        </w:tc>
        <w:tc>
          <w:tcPr>
            <w:tcW w:w="2354" w:type="dxa"/>
          </w:tcPr>
          <w:p w14:paraId="42DA5CA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2721(13.6)</w:t>
            </w:r>
          </w:p>
          <w:p w14:paraId="4E217E8F"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5207(26.1)</w:t>
            </w:r>
          </w:p>
          <w:p w14:paraId="7601128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9136(45.7)</w:t>
            </w:r>
          </w:p>
          <w:p w14:paraId="222FE7E9"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2923(14.6)</w:t>
            </w:r>
          </w:p>
        </w:tc>
      </w:tr>
      <w:tr w:rsidR="0014552E" w:rsidRPr="00A52A24" w14:paraId="79E31602" w14:textId="77777777" w:rsidTr="001C4758">
        <w:trPr>
          <w:trHeight w:val="19"/>
        </w:trPr>
        <w:tc>
          <w:tcPr>
            <w:tcW w:w="2802" w:type="dxa"/>
          </w:tcPr>
          <w:p w14:paraId="1C40ED3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Wealth</w:t>
            </w:r>
          </w:p>
        </w:tc>
        <w:tc>
          <w:tcPr>
            <w:tcW w:w="2840" w:type="dxa"/>
          </w:tcPr>
          <w:p w14:paraId="01D840C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Poor</w:t>
            </w:r>
          </w:p>
          <w:p w14:paraId="6038D852"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Middle</w:t>
            </w:r>
          </w:p>
          <w:p w14:paraId="7FCFA212"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Rich</w:t>
            </w:r>
          </w:p>
        </w:tc>
        <w:tc>
          <w:tcPr>
            <w:tcW w:w="2354" w:type="dxa"/>
          </w:tcPr>
          <w:p w14:paraId="5B898D0A"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7502(37.5)</w:t>
            </w:r>
          </w:p>
          <w:p w14:paraId="46F4A64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3989(20)</w:t>
            </w:r>
          </w:p>
          <w:p w14:paraId="329ADB7D"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8496(42.5)</w:t>
            </w:r>
          </w:p>
        </w:tc>
      </w:tr>
      <w:tr w:rsidR="0014552E" w:rsidRPr="00A52A24" w14:paraId="1C4EF527" w14:textId="77777777" w:rsidTr="001C4758">
        <w:trPr>
          <w:trHeight w:val="19"/>
        </w:trPr>
        <w:tc>
          <w:tcPr>
            <w:tcW w:w="2802" w:type="dxa"/>
          </w:tcPr>
          <w:p w14:paraId="17D0557F"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Religion</w:t>
            </w:r>
          </w:p>
        </w:tc>
        <w:tc>
          <w:tcPr>
            <w:tcW w:w="2840" w:type="dxa"/>
          </w:tcPr>
          <w:p w14:paraId="2E6CABE6"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Non-Muslim</w:t>
            </w:r>
          </w:p>
          <w:p w14:paraId="1A0B6A54"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Muslim</w:t>
            </w:r>
          </w:p>
        </w:tc>
        <w:tc>
          <w:tcPr>
            <w:tcW w:w="2354" w:type="dxa"/>
          </w:tcPr>
          <w:p w14:paraId="42FACED7"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2059(10.3)</w:t>
            </w:r>
          </w:p>
          <w:p w14:paraId="2ADDDC0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17928(89.7)</w:t>
            </w:r>
          </w:p>
        </w:tc>
      </w:tr>
      <w:tr w:rsidR="0014552E" w:rsidRPr="00A52A24" w14:paraId="0A0EF092" w14:textId="77777777" w:rsidTr="001C4758">
        <w:trPr>
          <w:trHeight w:val="19"/>
        </w:trPr>
        <w:tc>
          <w:tcPr>
            <w:tcW w:w="2802" w:type="dxa"/>
          </w:tcPr>
          <w:p w14:paraId="1C1F8F45"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Age of respondents</w:t>
            </w:r>
          </w:p>
        </w:tc>
        <w:tc>
          <w:tcPr>
            <w:tcW w:w="2840" w:type="dxa"/>
          </w:tcPr>
          <w:p w14:paraId="01C80317"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15-19</w:t>
            </w:r>
          </w:p>
          <w:p w14:paraId="712B459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20-24</w:t>
            </w:r>
          </w:p>
          <w:p w14:paraId="2419D9ED"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25-29</w:t>
            </w:r>
          </w:p>
          <w:p w14:paraId="0ECA0D53"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30-34</w:t>
            </w:r>
          </w:p>
          <w:p w14:paraId="786DF3C7"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35-39</w:t>
            </w:r>
          </w:p>
          <w:p w14:paraId="2D2E1633"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40-44</w:t>
            </w:r>
          </w:p>
          <w:p w14:paraId="5C167493"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45-49</w:t>
            </w:r>
          </w:p>
        </w:tc>
        <w:tc>
          <w:tcPr>
            <w:tcW w:w="2354" w:type="dxa"/>
          </w:tcPr>
          <w:p w14:paraId="64830145"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1635(8.2)</w:t>
            </w:r>
          </w:p>
          <w:p w14:paraId="10D4940E"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3233(16.2)</w:t>
            </w:r>
          </w:p>
          <w:p w14:paraId="46408459"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3539(17.7)</w:t>
            </w:r>
          </w:p>
          <w:p w14:paraId="34222B1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3438(17.2)</w:t>
            </w:r>
          </w:p>
          <w:p w14:paraId="1DDAF1C3"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3362(16.8)</w:t>
            </w:r>
          </w:p>
          <w:p w14:paraId="73797D5C"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2561(12.8)</w:t>
            </w:r>
          </w:p>
          <w:p w14:paraId="16CB231E"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2219(11.1)</w:t>
            </w:r>
          </w:p>
        </w:tc>
      </w:tr>
      <w:tr w:rsidR="0014552E" w:rsidRPr="00A52A24" w14:paraId="0BBEB172" w14:textId="77777777" w:rsidTr="001C4758">
        <w:trPr>
          <w:trHeight w:val="19"/>
        </w:trPr>
        <w:tc>
          <w:tcPr>
            <w:tcW w:w="2802" w:type="dxa"/>
          </w:tcPr>
          <w:p w14:paraId="7A2FCD2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Region</w:t>
            </w:r>
          </w:p>
        </w:tc>
        <w:tc>
          <w:tcPr>
            <w:tcW w:w="2840" w:type="dxa"/>
          </w:tcPr>
          <w:p w14:paraId="16DD5EC1" w14:textId="77777777" w:rsidR="0014552E" w:rsidRPr="00A52A24" w:rsidRDefault="0014552E" w:rsidP="00156002">
            <w:pPr>
              <w:jc w:val="both"/>
              <w:rPr>
                <w:rFonts w:ascii="Times New Roman" w:hAnsi="Times New Roman" w:cs="Times New Roman"/>
                <w:sz w:val="20"/>
                <w:szCs w:val="20"/>
              </w:rPr>
            </w:pPr>
            <w:proofErr w:type="spellStart"/>
            <w:r w:rsidRPr="00A52A24">
              <w:rPr>
                <w:rFonts w:ascii="Times New Roman" w:hAnsi="Times New Roman" w:cs="Times New Roman"/>
                <w:sz w:val="20"/>
                <w:szCs w:val="20"/>
              </w:rPr>
              <w:t>Barishal</w:t>
            </w:r>
            <w:proofErr w:type="spellEnd"/>
          </w:p>
          <w:p w14:paraId="4588DE04"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Chattogram</w:t>
            </w:r>
          </w:p>
          <w:p w14:paraId="2EBA195E"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Dhaka</w:t>
            </w:r>
          </w:p>
          <w:p w14:paraId="346C03CA"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Khulna</w:t>
            </w:r>
          </w:p>
          <w:p w14:paraId="2EDA31A7"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Mymensingh</w:t>
            </w:r>
          </w:p>
          <w:p w14:paraId="03AFA246" w14:textId="77777777" w:rsidR="0014552E" w:rsidRPr="00A52A24" w:rsidRDefault="0014552E" w:rsidP="00156002">
            <w:pPr>
              <w:jc w:val="both"/>
              <w:rPr>
                <w:rFonts w:ascii="Times New Roman" w:hAnsi="Times New Roman" w:cs="Times New Roman"/>
                <w:sz w:val="20"/>
                <w:szCs w:val="20"/>
              </w:rPr>
            </w:pPr>
            <w:proofErr w:type="spellStart"/>
            <w:r w:rsidRPr="00A52A24">
              <w:rPr>
                <w:rFonts w:ascii="Times New Roman" w:hAnsi="Times New Roman" w:cs="Times New Roman"/>
                <w:sz w:val="20"/>
                <w:szCs w:val="20"/>
              </w:rPr>
              <w:t>Rajshahi</w:t>
            </w:r>
            <w:proofErr w:type="spellEnd"/>
          </w:p>
          <w:p w14:paraId="03F0F94D"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Rangpur</w:t>
            </w:r>
          </w:p>
          <w:p w14:paraId="4E98B65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lastRenderedPageBreak/>
              <w:t>Sylhet</w:t>
            </w:r>
          </w:p>
        </w:tc>
        <w:tc>
          <w:tcPr>
            <w:tcW w:w="2354" w:type="dxa"/>
          </w:tcPr>
          <w:p w14:paraId="539830B9"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lastRenderedPageBreak/>
              <w:t>2117(10.6)</w:t>
            </w:r>
          </w:p>
          <w:p w14:paraId="1092127C"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2983(14.9)</w:t>
            </w:r>
          </w:p>
          <w:p w14:paraId="4EDBDA64"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3028(15.1)</w:t>
            </w:r>
          </w:p>
          <w:p w14:paraId="635602C5"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2602(13.0)</w:t>
            </w:r>
          </w:p>
          <w:p w14:paraId="75B5349A"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2156(10.8)</w:t>
            </w:r>
          </w:p>
          <w:p w14:paraId="43AFED82"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2546(12.7)</w:t>
            </w:r>
          </w:p>
          <w:p w14:paraId="4F376DEA"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2399(12.0)</w:t>
            </w:r>
          </w:p>
          <w:p w14:paraId="1C80941C"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lastRenderedPageBreak/>
              <w:t>2156(10.8)</w:t>
            </w:r>
          </w:p>
        </w:tc>
      </w:tr>
      <w:tr w:rsidR="0014552E" w:rsidRPr="00A52A24" w14:paraId="26F76964" w14:textId="77777777" w:rsidTr="001C4758">
        <w:trPr>
          <w:trHeight w:val="19"/>
        </w:trPr>
        <w:tc>
          <w:tcPr>
            <w:tcW w:w="2802" w:type="dxa"/>
          </w:tcPr>
          <w:p w14:paraId="2DAA0987"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lastRenderedPageBreak/>
              <w:t>Contraceptive use</w:t>
            </w:r>
          </w:p>
        </w:tc>
        <w:tc>
          <w:tcPr>
            <w:tcW w:w="2840" w:type="dxa"/>
          </w:tcPr>
          <w:p w14:paraId="6F3C52D6"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No</w:t>
            </w:r>
          </w:p>
          <w:p w14:paraId="7842D0ED"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Yes</w:t>
            </w:r>
          </w:p>
        </w:tc>
        <w:tc>
          <w:tcPr>
            <w:tcW w:w="2354" w:type="dxa"/>
          </w:tcPr>
          <w:p w14:paraId="36561799"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7742(38.7)</w:t>
            </w:r>
          </w:p>
          <w:p w14:paraId="1FD41A0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12245(61.3)</w:t>
            </w:r>
          </w:p>
        </w:tc>
      </w:tr>
      <w:tr w:rsidR="0014552E" w:rsidRPr="00A52A24" w14:paraId="6BB37D6C" w14:textId="77777777" w:rsidTr="001C4758">
        <w:trPr>
          <w:trHeight w:val="19"/>
        </w:trPr>
        <w:tc>
          <w:tcPr>
            <w:tcW w:w="2802" w:type="dxa"/>
          </w:tcPr>
          <w:p w14:paraId="7C92FBEA"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Current marital status</w:t>
            </w:r>
          </w:p>
        </w:tc>
        <w:tc>
          <w:tcPr>
            <w:tcW w:w="2840" w:type="dxa"/>
          </w:tcPr>
          <w:p w14:paraId="2DD73100"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Separated</w:t>
            </w:r>
          </w:p>
          <w:p w14:paraId="337FA38B"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Married</w:t>
            </w:r>
          </w:p>
          <w:p w14:paraId="42B1DD7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Widowed</w:t>
            </w:r>
          </w:p>
          <w:p w14:paraId="3C8A137E"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Divorced</w:t>
            </w:r>
          </w:p>
        </w:tc>
        <w:tc>
          <w:tcPr>
            <w:tcW w:w="2354" w:type="dxa"/>
          </w:tcPr>
          <w:p w14:paraId="181AACE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181(0.9)</w:t>
            </w:r>
          </w:p>
          <w:p w14:paraId="526700FD"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18987(95)</w:t>
            </w:r>
          </w:p>
          <w:p w14:paraId="549DCE2A"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543(2.7)</w:t>
            </w:r>
          </w:p>
          <w:p w14:paraId="44FAFC72"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276(1.4)</w:t>
            </w:r>
          </w:p>
        </w:tc>
      </w:tr>
    </w:tbl>
    <w:p w14:paraId="31E1C5E6" w14:textId="77777777" w:rsidR="009C3ADC" w:rsidRDefault="009C3ADC" w:rsidP="003F223F">
      <w:pPr>
        <w:spacing w:line="324" w:lineRule="auto"/>
        <w:jc w:val="both"/>
        <w:rPr>
          <w:sz w:val="20"/>
          <w:szCs w:val="20"/>
        </w:rPr>
      </w:pPr>
      <w:bookmarkStart w:id="6" w:name="_Toc197551927"/>
    </w:p>
    <w:p w14:paraId="20384ED1" w14:textId="59F54841" w:rsidR="0014552E" w:rsidRPr="00A52A24" w:rsidRDefault="0014552E" w:rsidP="003F223F">
      <w:pPr>
        <w:spacing w:line="324" w:lineRule="auto"/>
        <w:jc w:val="both"/>
        <w:rPr>
          <w:sz w:val="20"/>
          <w:szCs w:val="20"/>
        </w:rPr>
      </w:pPr>
      <w:r w:rsidRPr="00A52A24">
        <w:rPr>
          <w:sz w:val="20"/>
          <w:szCs w:val="20"/>
        </w:rPr>
        <w:t>Table 2 presents the descriptive statistics of the dependent variable, the total number of children ever born (TCEB). The average number of children ever born was 2.15, with values ranging from 0 to 11 children. The median number of children was 2, and the interquartile range was 1 to 3, suggesting that most women had between 1 and 3 children. To assess whether the data exhibits overdispersion, a condition in count data where the variance exceeds the mean. We calculated the variance of TCEB as 1.99. Since the variance (1.99) is slightly less than the mean (2.15), there is no evidence of overdispersion in the TCEB data. This suggests that a GPRM model is appropriate for further analysis.</w:t>
      </w:r>
    </w:p>
    <w:p w14:paraId="2B34619F" w14:textId="77777777" w:rsidR="0014552E" w:rsidRPr="00A52A24" w:rsidRDefault="0014552E" w:rsidP="0014552E">
      <w:pPr>
        <w:jc w:val="both"/>
        <w:rPr>
          <w:sz w:val="20"/>
          <w:szCs w:val="20"/>
        </w:rPr>
      </w:pPr>
    </w:p>
    <w:p w14:paraId="1391E55C" w14:textId="76E8F85D" w:rsidR="0014552E" w:rsidRDefault="0014552E" w:rsidP="003465CE">
      <w:pPr>
        <w:ind w:left="851" w:hanging="851"/>
        <w:jc w:val="both"/>
        <w:rPr>
          <w:sz w:val="20"/>
          <w:szCs w:val="20"/>
        </w:rPr>
      </w:pPr>
      <w:r w:rsidRPr="00A52A24">
        <w:rPr>
          <w:b/>
          <w:bCs/>
          <w:sz w:val="20"/>
          <w:szCs w:val="20"/>
        </w:rPr>
        <w:t xml:space="preserve">Table </w:t>
      </w:r>
      <w:r w:rsidRPr="00A52A24">
        <w:rPr>
          <w:b/>
          <w:bCs/>
          <w:sz w:val="20"/>
          <w:szCs w:val="20"/>
        </w:rPr>
        <w:fldChar w:fldCharType="begin"/>
      </w:r>
      <w:r w:rsidRPr="00A52A24">
        <w:rPr>
          <w:b/>
          <w:bCs/>
          <w:sz w:val="20"/>
          <w:szCs w:val="20"/>
        </w:rPr>
        <w:instrText xml:space="preserve"> SEQ Table \* ARABIC </w:instrText>
      </w:r>
      <w:r w:rsidRPr="00A52A24">
        <w:rPr>
          <w:b/>
          <w:bCs/>
          <w:sz w:val="20"/>
          <w:szCs w:val="20"/>
        </w:rPr>
        <w:fldChar w:fldCharType="separate"/>
      </w:r>
      <w:r w:rsidR="0012069D">
        <w:rPr>
          <w:b/>
          <w:bCs/>
          <w:noProof/>
          <w:sz w:val="20"/>
          <w:szCs w:val="20"/>
        </w:rPr>
        <w:t>2</w:t>
      </w:r>
      <w:r w:rsidRPr="00A52A24">
        <w:rPr>
          <w:b/>
          <w:bCs/>
          <w:sz w:val="20"/>
          <w:szCs w:val="20"/>
        </w:rPr>
        <w:fldChar w:fldCharType="end"/>
      </w:r>
      <w:bookmarkEnd w:id="6"/>
      <w:r w:rsidR="003F223F">
        <w:rPr>
          <w:b/>
          <w:bCs/>
          <w:sz w:val="20"/>
          <w:szCs w:val="20"/>
        </w:rPr>
        <w:t>.</w:t>
      </w:r>
      <w:r w:rsidRPr="00A52A24">
        <w:rPr>
          <w:sz w:val="20"/>
          <w:szCs w:val="20"/>
        </w:rPr>
        <w:t xml:space="preserve"> Descriptive </w:t>
      </w:r>
      <w:r w:rsidR="00C945A8">
        <w:rPr>
          <w:sz w:val="20"/>
          <w:szCs w:val="20"/>
        </w:rPr>
        <w:t>S</w:t>
      </w:r>
      <w:r w:rsidRPr="00A52A24">
        <w:rPr>
          <w:sz w:val="20"/>
          <w:szCs w:val="20"/>
        </w:rPr>
        <w:t xml:space="preserve">tatistics for Total Children Ever Born among </w:t>
      </w:r>
      <w:r w:rsidR="00C945A8">
        <w:rPr>
          <w:sz w:val="20"/>
          <w:szCs w:val="20"/>
        </w:rPr>
        <w:t>W</w:t>
      </w:r>
      <w:r w:rsidRPr="00A52A24">
        <w:rPr>
          <w:sz w:val="20"/>
          <w:szCs w:val="20"/>
        </w:rPr>
        <w:t xml:space="preserve">omen </w:t>
      </w:r>
      <w:r w:rsidR="00C945A8">
        <w:rPr>
          <w:sz w:val="20"/>
          <w:szCs w:val="20"/>
        </w:rPr>
        <w:t>A</w:t>
      </w:r>
      <w:r w:rsidRPr="00A52A24">
        <w:rPr>
          <w:sz w:val="20"/>
          <w:szCs w:val="20"/>
        </w:rPr>
        <w:t>ged 15-49 in Bangladesh</w:t>
      </w:r>
    </w:p>
    <w:p w14:paraId="4F494672" w14:textId="77777777" w:rsidR="003F223F" w:rsidRPr="00A52A24" w:rsidRDefault="003F223F" w:rsidP="0014552E">
      <w:pPr>
        <w:jc w:val="both"/>
        <w:rPr>
          <w:sz w:val="20"/>
          <w:szCs w:val="20"/>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809"/>
        <w:gridCol w:w="1159"/>
        <w:gridCol w:w="882"/>
        <w:gridCol w:w="827"/>
        <w:gridCol w:w="672"/>
        <w:gridCol w:w="945"/>
        <w:gridCol w:w="1050"/>
        <w:gridCol w:w="605"/>
      </w:tblGrid>
      <w:tr w:rsidR="0014552E" w:rsidRPr="00A52A24" w14:paraId="63AD68AA" w14:textId="77777777" w:rsidTr="003465CE">
        <w:tc>
          <w:tcPr>
            <w:tcW w:w="1809" w:type="dxa"/>
            <w:hideMark/>
          </w:tcPr>
          <w:p w14:paraId="5F18B0AB"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Variable</w:t>
            </w:r>
          </w:p>
        </w:tc>
        <w:tc>
          <w:tcPr>
            <w:tcW w:w="1159" w:type="dxa"/>
            <w:hideMark/>
          </w:tcPr>
          <w:p w14:paraId="513E7D71"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Minimum</w:t>
            </w:r>
          </w:p>
        </w:tc>
        <w:tc>
          <w:tcPr>
            <w:tcW w:w="882" w:type="dxa"/>
            <w:hideMark/>
          </w:tcPr>
          <w:p w14:paraId="655F326A"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1st Quartile</w:t>
            </w:r>
          </w:p>
        </w:tc>
        <w:tc>
          <w:tcPr>
            <w:tcW w:w="0" w:type="auto"/>
            <w:hideMark/>
          </w:tcPr>
          <w:p w14:paraId="101DE899"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Median</w:t>
            </w:r>
          </w:p>
        </w:tc>
        <w:tc>
          <w:tcPr>
            <w:tcW w:w="0" w:type="auto"/>
            <w:hideMark/>
          </w:tcPr>
          <w:p w14:paraId="6670F21F"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Mean</w:t>
            </w:r>
          </w:p>
        </w:tc>
        <w:tc>
          <w:tcPr>
            <w:tcW w:w="0" w:type="auto"/>
            <w:hideMark/>
          </w:tcPr>
          <w:p w14:paraId="1605867A"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3rd Quartile</w:t>
            </w:r>
          </w:p>
        </w:tc>
        <w:tc>
          <w:tcPr>
            <w:tcW w:w="0" w:type="auto"/>
            <w:hideMark/>
          </w:tcPr>
          <w:p w14:paraId="6D04A96B"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Maximum</w:t>
            </w:r>
          </w:p>
        </w:tc>
        <w:tc>
          <w:tcPr>
            <w:tcW w:w="0" w:type="auto"/>
            <w:hideMark/>
          </w:tcPr>
          <w:p w14:paraId="66E4696D"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(SD)</w:t>
            </w:r>
          </w:p>
        </w:tc>
      </w:tr>
      <w:tr w:rsidR="0014552E" w:rsidRPr="00A52A24" w14:paraId="19BD35FB" w14:textId="77777777" w:rsidTr="003465CE">
        <w:tc>
          <w:tcPr>
            <w:tcW w:w="1809" w:type="dxa"/>
            <w:hideMark/>
          </w:tcPr>
          <w:p w14:paraId="0E953B72"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Children Ever Born</w:t>
            </w:r>
          </w:p>
        </w:tc>
        <w:tc>
          <w:tcPr>
            <w:tcW w:w="1159" w:type="dxa"/>
            <w:hideMark/>
          </w:tcPr>
          <w:p w14:paraId="0E16374B"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0.0</w:t>
            </w:r>
          </w:p>
        </w:tc>
        <w:tc>
          <w:tcPr>
            <w:tcW w:w="882" w:type="dxa"/>
            <w:hideMark/>
          </w:tcPr>
          <w:p w14:paraId="0553F88A"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1.0</w:t>
            </w:r>
          </w:p>
        </w:tc>
        <w:tc>
          <w:tcPr>
            <w:tcW w:w="0" w:type="auto"/>
            <w:hideMark/>
          </w:tcPr>
          <w:p w14:paraId="017273C5"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2.0</w:t>
            </w:r>
          </w:p>
        </w:tc>
        <w:tc>
          <w:tcPr>
            <w:tcW w:w="0" w:type="auto"/>
            <w:hideMark/>
          </w:tcPr>
          <w:p w14:paraId="1ECFF16F" w14:textId="77777777" w:rsidR="0014552E" w:rsidRPr="00A52A24" w:rsidRDefault="0014552E" w:rsidP="00156002">
            <w:pPr>
              <w:jc w:val="center"/>
              <w:rPr>
                <w:rFonts w:ascii="Times New Roman" w:hAnsi="Times New Roman" w:cs="Times New Roman"/>
                <w:b/>
                <w:bCs/>
                <w:sz w:val="20"/>
                <w:szCs w:val="20"/>
              </w:rPr>
            </w:pPr>
            <w:r w:rsidRPr="00A52A24">
              <w:rPr>
                <w:rFonts w:ascii="Times New Roman" w:hAnsi="Times New Roman" w:cs="Times New Roman"/>
                <w:b/>
                <w:bCs/>
                <w:sz w:val="20"/>
                <w:szCs w:val="20"/>
              </w:rPr>
              <w:t>2.15</w:t>
            </w:r>
          </w:p>
        </w:tc>
        <w:tc>
          <w:tcPr>
            <w:tcW w:w="0" w:type="auto"/>
            <w:hideMark/>
          </w:tcPr>
          <w:p w14:paraId="2A6DF0E4"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3.0</w:t>
            </w:r>
          </w:p>
        </w:tc>
        <w:tc>
          <w:tcPr>
            <w:tcW w:w="0" w:type="auto"/>
            <w:hideMark/>
          </w:tcPr>
          <w:p w14:paraId="56BF1755"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11.0</w:t>
            </w:r>
          </w:p>
        </w:tc>
        <w:tc>
          <w:tcPr>
            <w:tcW w:w="0" w:type="auto"/>
            <w:hideMark/>
          </w:tcPr>
          <w:p w14:paraId="7BEEF86C" w14:textId="77777777" w:rsidR="0014552E" w:rsidRPr="00A52A24" w:rsidRDefault="0014552E" w:rsidP="00156002">
            <w:pPr>
              <w:jc w:val="center"/>
              <w:rPr>
                <w:rFonts w:ascii="Times New Roman" w:hAnsi="Times New Roman" w:cs="Times New Roman"/>
                <w:b/>
                <w:bCs/>
                <w:sz w:val="20"/>
                <w:szCs w:val="20"/>
              </w:rPr>
            </w:pPr>
            <w:r w:rsidRPr="00A52A24">
              <w:rPr>
                <w:rFonts w:ascii="Times New Roman" w:hAnsi="Times New Roman" w:cs="Times New Roman"/>
                <w:b/>
                <w:bCs/>
                <w:sz w:val="20"/>
                <w:szCs w:val="20"/>
              </w:rPr>
              <w:t>1.41</w:t>
            </w:r>
          </w:p>
        </w:tc>
      </w:tr>
    </w:tbl>
    <w:p w14:paraId="0ACCA3A5" w14:textId="77777777" w:rsidR="0014552E" w:rsidRPr="00A52A24" w:rsidRDefault="0014552E" w:rsidP="0014552E">
      <w:pPr>
        <w:jc w:val="both"/>
        <w:rPr>
          <w:b/>
          <w:bCs/>
          <w:i/>
          <w:iCs/>
          <w:sz w:val="20"/>
          <w:szCs w:val="20"/>
        </w:rPr>
      </w:pPr>
      <w:bookmarkStart w:id="7" w:name="_Toc197555233"/>
    </w:p>
    <w:p w14:paraId="67AEB307" w14:textId="65222A12" w:rsidR="0014552E" w:rsidRDefault="0014552E" w:rsidP="0014552E">
      <w:pPr>
        <w:jc w:val="both"/>
        <w:rPr>
          <w:i/>
          <w:iCs/>
          <w:sz w:val="20"/>
          <w:szCs w:val="20"/>
        </w:rPr>
      </w:pPr>
      <w:r w:rsidRPr="00A52A24">
        <w:rPr>
          <w:b/>
          <w:bCs/>
          <w:i/>
          <w:iCs/>
          <w:sz w:val="20"/>
          <w:szCs w:val="20"/>
        </w:rPr>
        <w:t>3.2 Estimation based on Generalized Poisson Regression Model</w:t>
      </w:r>
      <w:bookmarkEnd w:id="7"/>
      <w:r w:rsidRPr="00A52A24">
        <w:rPr>
          <w:i/>
          <w:iCs/>
          <w:sz w:val="20"/>
          <w:szCs w:val="20"/>
        </w:rPr>
        <w:t xml:space="preserve"> </w:t>
      </w:r>
    </w:p>
    <w:p w14:paraId="7F57C4B4" w14:textId="77777777" w:rsidR="003F223F" w:rsidRPr="00A52A24" w:rsidRDefault="003F223F" w:rsidP="0014552E">
      <w:pPr>
        <w:jc w:val="both"/>
        <w:rPr>
          <w:i/>
          <w:iCs/>
          <w:sz w:val="20"/>
          <w:szCs w:val="20"/>
        </w:rPr>
      </w:pPr>
    </w:p>
    <w:p w14:paraId="3416F553" w14:textId="77777777" w:rsidR="0014552E" w:rsidRPr="003F223F" w:rsidRDefault="0014552E" w:rsidP="003F223F">
      <w:pPr>
        <w:pStyle w:val="Caption"/>
        <w:keepNext/>
        <w:spacing w:line="324" w:lineRule="auto"/>
        <w:rPr>
          <w:b w:val="0"/>
          <w:bCs w:val="0"/>
          <w:i/>
          <w:iCs/>
          <w:sz w:val="20"/>
          <w:szCs w:val="20"/>
        </w:rPr>
      </w:pPr>
      <w:r w:rsidRPr="003F223F">
        <w:rPr>
          <w:b w:val="0"/>
          <w:bCs w:val="0"/>
          <w:sz w:val="20"/>
          <w:szCs w:val="20"/>
        </w:rPr>
        <w:t xml:space="preserve">Table 3 presents the results of the generalized Poisson regression model investigating factors associated with the number of children born. Age showed a strong positive association, with women aged 45–49 having over 6.341 times higher fertility than the reference group (IRR = 6.341, 95% CI [5.891, 6.825], p-value &lt; 0.001). Education was inversely related to fertility, where primary (IRR = 0.955, 95% CI [0.928, 0.981], p-value &lt; 0.01), secondary (IRR = 0.847, 95% CI [0.823, 0.873], p-value &lt; 0.001), and higher education (IRR = 0.630, 95% CI [0.603, 0.657], p-value &lt; 0.001) were associated with progressively lower fertility rates. Women in the middle (IRR = 0.946, 95% CI [0.921, 0.972], p-value &lt; 0.001) and rich (IRR = 0.917, 95% CI [0.894, 0.940], p-value &lt; 0.001) wealth categories had significantly fewer children compared to the poorest group. Muslim women had a 23.6% higher expected fertility than non-Muslims (IRR = 1.236, 95% CI [1.196, 1.278], p-value &lt; 0.001). Contraceptive use was positively associated with fertility (IRR = 1.277, 95% CI [1.249, 1.305], p-value &lt; 0.001), potentially indicating reverse causality. Married (IRR = 1.263, 95% CI [1.123, 1.422], p-value &lt; 0.001) and widowed women (IRR = 1.295, 95% CI [1.140, 1.471], p-value &lt; 0.001) had higher fertility, </w:t>
      </w:r>
      <w:r w:rsidRPr="003F223F">
        <w:rPr>
          <w:b w:val="0"/>
          <w:bCs w:val="0"/>
          <w:sz w:val="20"/>
          <w:szCs w:val="20"/>
        </w:rPr>
        <w:lastRenderedPageBreak/>
        <w:t xml:space="preserve">while divorced women had lower fertility (IRR = 0.692, 95% CI [0.587, 0.814], p-value &lt; 0.001). Rural residence was associated with a modest increase in fertility (IRR = 1.059, 95% CI [1.036, 1.083], p-value &lt; 0.001). Regionally, Chattogram (IRR = 1.138, 95% CI [1.096, 1.182], p-value &lt; 0.001) and Sylhet (IRR = 1.140, 95% CI [1.095, 1.187], p-value &lt; 0.001) had higher fertility rates, whereas Khulna (IRR = 0.905, 95% CI [0.868, 0.942], p-value &lt; 0.001) and </w:t>
      </w:r>
      <w:proofErr w:type="spellStart"/>
      <w:r w:rsidRPr="003F223F">
        <w:rPr>
          <w:b w:val="0"/>
          <w:bCs w:val="0"/>
          <w:sz w:val="20"/>
          <w:szCs w:val="20"/>
        </w:rPr>
        <w:t>Rajshahi</w:t>
      </w:r>
      <w:proofErr w:type="spellEnd"/>
      <w:r w:rsidRPr="003F223F">
        <w:rPr>
          <w:b w:val="0"/>
          <w:bCs w:val="0"/>
          <w:sz w:val="20"/>
          <w:szCs w:val="20"/>
        </w:rPr>
        <w:t xml:space="preserve"> (IRR = 0.869, 95% CI [0.834, 0.905], p-value &lt; 0.001) showed significantly lower fertility. Other divisions showed no significant differences. These findings underscore the influence of demographic, socioeconomic, and regional factors on fertility </w:t>
      </w:r>
      <w:proofErr w:type="spellStart"/>
      <w:r w:rsidRPr="003F223F">
        <w:rPr>
          <w:b w:val="0"/>
          <w:bCs w:val="0"/>
          <w:sz w:val="20"/>
          <w:szCs w:val="20"/>
        </w:rPr>
        <w:t>behaviour</w:t>
      </w:r>
      <w:proofErr w:type="spellEnd"/>
      <w:r w:rsidRPr="003F223F">
        <w:rPr>
          <w:b w:val="0"/>
          <w:bCs w:val="0"/>
          <w:sz w:val="20"/>
          <w:szCs w:val="20"/>
        </w:rPr>
        <w:t>.</w:t>
      </w:r>
    </w:p>
    <w:p w14:paraId="6FCE4C90" w14:textId="77777777" w:rsidR="0014552E" w:rsidRPr="00A52A24" w:rsidRDefault="0014552E" w:rsidP="0014552E">
      <w:pPr>
        <w:rPr>
          <w:i/>
          <w:iCs/>
          <w:sz w:val="20"/>
          <w:szCs w:val="20"/>
        </w:rPr>
      </w:pPr>
    </w:p>
    <w:p w14:paraId="585C213A" w14:textId="34DC2CD8" w:rsidR="0014552E" w:rsidRPr="003F223F" w:rsidRDefault="0014552E" w:rsidP="003465CE">
      <w:pPr>
        <w:pStyle w:val="Caption"/>
        <w:keepNext/>
        <w:spacing w:line="240" w:lineRule="auto"/>
        <w:ind w:left="851" w:hanging="851"/>
        <w:rPr>
          <w:b w:val="0"/>
          <w:bCs w:val="0"/>
          <w:sz w:val="20"/>
          <w:szCs w:val="20"/>
        </w:rPr>
      </w:pPr>
      <w:r w:rsidRPr="00A52A24">
        <w:rPr>
          <w:sz w:val="20"/>
          <w:szCs w:val="20"/>
        </w:rPr>
        <w:t>Table 3</w:t>
      </w:r>
      <w:r w:rsidR="003F223F">
        <w:rPr>
          <w:sz w:val="20"/>
          <w:szCs w:val="20"/>
        </w:rPr>
        <w:t>.</w:t>
      </w:r>
      <w:r w:rsidRPr="00A52A24">
        <w:rPr>
          <w:sz w:val="20"/>
          <w:szCs w:val="20"/>
        </w:rPr>
        <w:t xml:space="preserve"> </w:t>
      </w:r>
      <w:r w:rsidR="003465CE">
        <w:rPr>
          <w:sz w:val="20"/>
          <w:szCs w:val="20"/>
        </w:rPr>
        <w:tab/>
      </w:r>
      <w:r w:rsidRPr="003F223F">
        <w:rPr>
          <w:b w:val="0"/>
          <w:bCs w:val="0"/>
          <w:sz w:val="20"/>
          <w:szCs w:val="20"/>
        </w:rPr>
        <w:t xml:space="preserve">Generalized Poisson </w:t>
      </w:r>
      <w:r w:rsidR="00C945A8">
        <w:rPr>
          <w:b w:val="0"/>
          <w:bCs w:val="0"/>
          <w:sz w:val="20"/>
          <w:szCs w:val="20"/>
        </w:rPr>
        <w:t>R</w:t>
      </w:r>
      <w:r w:rsidRPr="003F223F">
        <w:rPr>
          <w:b w:val="0"/>
          <w:bCs w:val="0"/>
          <w:sz w:val="20"/>
          <w:szCs w:val="20"/>
        </w:rPr>
        <w:t xml:space="preserve">egression </w:t>
      </w:r>
      <w:r w:rsidR="00C945A8">
        <w:rPr>
          <w:b w:val="0"/>
          <w:bCs w:val="0"/>
          <w:sz w:val="20"/>
          <w:szCs w:val="20"/>
        </w:rPr>
        <w:t>M</w:t>
      </w:r>
      <w:r w:rsidRPr="003F223F">
        <w:rPr>
          <w:b w:val="0"/>
          <w:bCs w:val="0"/>
          <w:sz w:val="20"/>
          <w:szCs w:val="20"/>
        </w:rPr>
        <w:t xml:space="preserve">odel </w:t>
      </w:r>
      <w:r w:rsidR="00C945A8">
        <w:rPr>
          <w:b w:val="0"/>
          <w:bCs w:val="0"/>
          <w:sz w:val="20"/>
          <w:szCs w:val="20"/>
        </w:rPr>
        <w:t>A</w:t>
      </w:r>
      <w:r w:rsidRPr="003F223F">
        <w:rPr>
          <w:b w:val="0"/>
          <w:bCs w:val="0"/>
          <w:sz w:val="20"/>
          <w:szCs w:val="20"/>
        </w:rPr>
        <w:t xml:space="preserve">nalysis of </w:t>
      </w:r>
      <w:r w:rsidR="00C945A8">
        <w:rPr>
          <w:b w:val="0"/>
          <w:bCs w:val="0"/>
          <w:sz w:val="20"/>
          <w:szCs w:val="20"/>
        </w:rPr>
        <w:t>F</w:t>
      </w:r>
      <w:r w:rsidRPr="003F223F">
        <w:rPr>
          <w:b w:val="0"/>
          <w:bCs w:val="0"/>
          <w:sz w:val="20"/>
          <w:szCs w:val="20"/>
        </w:rPr>
        <w:t xml:space="preserve">actors </w:t>
      </w:r>
      <w:r w:rsidR="00C945A8">
        <w:rPr>
          <w:b w:val="0"/>
          <w:bCs w:val="0"/>
          <w:sz w:val="20"/>
          <w:szCs w:val="20"/>
        </w:rPr>
        <w:t>A</w:t>
      </w:r>
      <w:r w:rsidRPr="003F223F">
        <w:rPr>
          <w:b w:val="0"/>
          <w:bCs w:val="0"/>
          <w:sz w:val="20"/>
          <w:szCs w:val="20"/>
        </w:rPr>
        <w:t xml:space="preserve">ssociated with Children Ever Born (TCEB) among </w:t>
      </w:r>
      <w:r w:rsidR="00C945A8">
        <w:rPr>
          <w:b w:val="0"/>
          <w:bCs w:val="0"/>
          <w:sz w:val="20"/>
          <w:szCs w:val="20"/>
        </w:rPr>
        <w:t>W</w:t>
      </w:r>
      <w:r w:rsidRPr="003F223F">
        <w:rPr>
          <w:b w:val="0"/>
          <w:bCs w:val="0"/>
          <w:sz w:val="20"/>
          <w:szCs w:val="20"/>
        </w:rPr>
        <w:t xml:space="preserve">omen using BDHS </w:t>
      </w:r>
      <w:r w:rsidR="00C945A8">
        <w:rPr>
          <w:b w:val="0"/>
          <w:bCs w:val="0"/>
          <w:sz w:val="20"/>
          <w:szCs w:val="20"/>
        </w:rPr>
        <w:t>D</w:t>
      </w:r>
      <w:r w:rsidRPr="003F223F">
        <w:rPr>
          <w:b w:val="0"/>
          <w:bCs w:val="0"/>
          <w:sz w:val="20"/>
          <w:szCs w:val="20"/>
        </w:rPr>
        <w:t>ata (n = 19987)</w:t>
      </w:r>
    </w:p>
    <w:p w14:paraId="0F01B504" w14:textId="77777777" w:rsidR="003F223F" w:rsidRPr="003F223F" w:rsidRDefault="003F223F" w:rsidP="003F223F"/>
    <w:tbl>
      <w:tblPr>
        <w:tblStyle w:val="TableGrid"/>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639"/>
        <w:gridCol w:w="1718"/>
        <w:gridCol w:w="2076"/>
      </w:tblGrid>
      <w:tr w:rsidR="0014552E" w:rsidRPr="00A52A24" w14:paraId="313155AA" w14:textId="77777777" w:rsidTr="001C4758">
        <w:trPr>
          <w:trHeight w:val="266"/>
        </w:trPr>
        <w:tc>
          <w:tcPr>
            <w:tcW w:w="0" w:type="auto"/>
            <w:tcBorders>
              <w:left w:val="nil"/>
            </w:tcBorders>
            <w:hideMark/>
          </w:tcPr>
          <w:p w14:paraId="6173A415" w14:textId="77777777" w:rsidR="0014552E" w:rsidRPr="00A52A24" w:rsidRDefault="0014552E" w:rsidP="00156002">
            <w:pPr>
              <w:jc w:val="both"/>
              <w:rPr>
                <w:rFonts w:ascii="Times New Roman" w:hAnsi="Times New Roman" w:cs="Times New Roman"/>
                <w:b/>
                <w:bCs/>
                <w:sz w:val="20"/>
                <w:szCs w:val="20"/>
              </w:rPr>
            </w:pPr>
            <w:r w:rsidRPr="00A52A24">
              <w:rPr>
                <w:rFonts w:ascii="Times New Roman" w:hAnsi="Times New Roman" w:cs="Times New Roman"/>
                <w:b/>
                <w:bCs/>
                <w:sz w:val="20"/>
                <w:szCs w:val="20"/>
              </w:rPr>
              <w:t>Predictors</w:t>
            </w:r>
          </w:p>
        </w:tc>
        <w:tc>
          <w:tcPr>
            <w:tcW w:w="0" w:type="auto"/>
            <w:hideMark/>
          </w:tcPr>
          <w:p w14:paraId="2C6A96B1" w14:textId="77777777" w:rsidR="0014552E" w:rsidRPr="00A52A24" w:rsidRDefault="0014552E" w:rsidP="00156002">
            <w:pPr>
              <w:jc w:val="both"/>
              <w:rPr>
                <w:rFonts w:ascii="Times New Roman" w:hAnsi="Times New Roman" w:cs="Times New Roman"/>
                <w:b/>
                <w:bCs/>
                <w:sz w:val="20"/>
                <w:szCs w:val="20"/>
              </w:rPr>
            </w:pPr>
            <w:r w:rsidRPr="00A52A24">
              <w:rPr>
                <w:rFonts w:ascii="Times New Roman" w:hAnsi="Times New Roman" w:cs="Times New Roman"/>
                <w:b/>
                <w:bCs/>
                <w:sz w:val="20"/>
                <w:szCs w:val="20"/>
              </w:rPr>
              <w:t>Categories</w:t>
            </w:r>
          </w:p>
        </w:tc>
        <w:tc>
          <w:tcPr>
            <w:tcW w:w="0" w:type="auto"/>
            <w:hideMark/>
          </w:tcPr>
          <w:p w14:paraId="1023CEB5" w14:textId="77777777" w:rsidR="0014552E" w:rsidRPr="00A52A24" w:rsidRDefault="0014552E" w:rsidP="00156002">
            <w:pPr>
              <w:jc w:val="both"/>
              <w:rPr>
                <w:rFonts w:ascii="Times New Roman" w:hAnsi="Times New Roman" w:cs="Times New Roman"/>
                <w:b/>
                <w:bCs/>
                <w:sz w:val="20"/>
                <w:szCs w:val="20"/>
              </w:rPr>
            </w:pPr>
            <w:r w:rsidRPr="00A52A24">
              <w:rPr>
                <w:rFonts w:ascii="Times New Roman" w:hAnsi="Times New Roman" w:cs="Times New Roman"/>
                <w:b/>
                <w:bCs/>
                <w:sz w:val="20"/>
                <w:szCs w:val="20"/>
              </w:rPr>
              <w:t>IRR (exp(B))</w:t>
            </w:r>
          </w:p>
        </w:tc>
        <w:tc>
          <w:tcPr>
            <w:tcW w:w="0" w:type="auto"/>
            <w:tcBorders>
              <w:right w:val="nil"/>
            </w:tcBorders>
            <w:hideMark/>
          </w:tcPr>
          <w:p w14:paraId="48BDB764" w14:textId="77777777" w:rsidR="0014552E" w:rsidRPr="00A52A24" w:rsidRDefault="0014552E" w:rsidP="00156002">
            <w:pPr>
              <w:jc w:val="both"/>
              <w:rPr>
                <w:rFonts w:ascii="Times New Roman" w:hAnsi="Times New Roman" w:cs="Times New Roman"/>
                <w:b/>
                <w:bCs/>
                <w:sz w:val="20"/>
                <w:szCs w:val="20"/>
              </w:rPr>
            </w:pPr>
            <w:r w:rsidRPr="00A52A24">
              <w:rPr>
                <w:rFonts w:ascii="Times New Roman" w:hAnsi="Times New Roman" w:cs="Times New Roman"/>
                <w:b/>
                <w:bCs/>
                <w:sz w:val="20"/>
                <w:szCs w:val="20"/>
              </w:rPr>
              <w:t>95% CI for IRR</w:t>
            </w:r>
          </w:p>
        </w:tc>
      </w:tr>
      <w:tr w:rsidR="0014552E" w:rsidRPr="00A52A24" w14:paraId="2DD15C33" w14:textId="77777777" w:rsidTr="001C4758">
        <w:trPr>
          <w:trHeight w:val="266"/>
        </w:trPr>
        <w:tc>
          <w:tcPr>
            <w:tcW w:w="0" w:type="auto"/>
            <w:tcBorders>
              <w:left w:val="nil"/>
            </w:tcBorders>
            <w:hideMark/>
          </w:tcPr>
          <w:p w14:paraId="4CB02888"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Intercept</w:t>
            </w:r>
          </w:p>
        </w:tc>
        <w:tc>
          <w:tcPr>
            <w:tcW w:w="0" w:type="auto"/>
            <w:hideMark/>
          </w:tcPr>
          <w:p w14:paraId="1D0FD814" w14:textId="77777777" w:rsidR="0014552E" w:rsidRPr="00A52A24" w:rsidRDefault="0014552E" w:rsidP="00156002">
            <w:pPr>
              <w:jc w:val="center"/>
              <w:rPr>
                <w:rFonts w:ascii="Times New Roman" w:hAnsi="Times New Roman" w:cs="Times New Roman"/>
                <w:sz w:val="20"/>
                <w:szCs w:val="20"/>
              </w:rPr>
            </w:pPr>
          </w:p>
        </w:tc>
        <w:tc>
          <w:tcPr>
            <w:tcW w:w="0" w:type="auto"/>
            <w:hideMark/>
          </w:tcPr>
          <w:p w14:paraId="03E1359C"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0.341 ***</w:t>
            </w:r>
          </w:p>
        </w:tc>
        <w:tc>
          <w:tcPr>
            <w:tcW w:w="0" w:type="auto"/>
            <w:tcBorders>
              <w:right w:val="nil"/>
            </w:tcBorders>
            <w:hideMark/>
          </w:tcPr>
          <w:p w14:paraId="71D259F1"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[0.296, 0.395]</w:t>
            </w:r>
          </w:p>
        </w:tc>
      </w:tr>
      <w:tr w:rsidR="0014552E" w:rsidRPr="00A52A24" w14:paraId="162FA46B" w14:textId="77777777" w:rsidTr="001C4758">
        <w:trPr>
          <w:trHeight w:val="254"/>
        </w:trPr>
        <w:tc>
          <w:tcPr>
            <w:tcW w:w="0" w:type="auto"/>
            <w:vMerge w:val="restart"/>
            <w:tcBorders>
              <w:left w:val="nil"/>
            </w:tcBorders>
            <w:hideMark/>
          </w:tcPr>
          <w:p w14:paraId="53CAEEDC"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Age of respondents</w:t>
            </w:r>
          </w:p>
          <w:p w14:paraId="2B3A6210"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79D0C81D"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20-24</w:t>
            </w:r>
          </w:p>
        </w:tc>
        <w:tc>
          <w:tcPr>
            <w:tcW w:w="0" w:type="auto"/>
            <w:hideMark/>
          </w:tcPr>
          <w:p w14:paraId="599A0B9A"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2.274 ***</w:t>
            </w:r>
          </w:p>
        </w:tc>
        <w:tc>
          <w:tcPr>
            <w:tcW w:w="0" w:type="auto"/>
            <w:tcBorders>
              <w:right w:val="nil"/>
            </w:tcBorders>
            <w:hideMark/>
          </w:tcPr>
          <w:p w14:paraId="05BBF195"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[2.109, 2.453]</w:t>
            </w:r>
          </w:p>
        </w:tc>
      </w:tr>
      <w:tr w:rsidR="0014552E" w:rsidRPr="00A52A24" w14:paraId="612D81C2" w14:textId="77777777" w:rsidTr="001C4758">
        <w:trPr>
          <w:trHeight w:val="138"/>
        </w:trPr>
        <w:tc>
          <w:tcPr>
            <w:tcW w:w="0" w:type="auto"/>
            <w:vMerge/>
            <w:tcBorders>
              <w:left w:val="nil"/>
            </w:tcBorders>
            <w:hideMark/>
          </w:tcPr>
          <w:p w14:paraId="3CC354B1" w14:textId="77777777" w:rsidR="0014552E" w:rsidRPr="00A52A24" w:rsidRDefault="0014552E" w:rsidP="00156002">
            <w:pPr>
              <w:jc w:val="both"/>
              <w:rPr>
                <w:rFonts w:ascii="Times New Roman" w:hAnsi="Times New Roman" w:cs="Times New Roman"/>
                <w:sz w:val="20"/>
                <w:szCs w:val="20"/>
              </w:rPr>
            </w:pPr>
          </w:p>
        </w:tc>
        <w:tc>
          <w:tcPr>
            <w:tcW w:w="0" w:type="auto"/>
            <w:vAlign w:val="center"/>
          </w:tcPr>
          <w:p w14:paraId="2C94F081"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25-29</w:t>
            </w:r>
          </w:p>
        </w:tc>
        <w:tc>
          <w:tcPr>
            <w:tcW w:w="0" w:type="auto"/>
            <w:hideMark/>
          </w:tcPr>
          <w:p w14:paraId="68DB5569"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3.550 ***</w:t>
            </w:r>
          </w:p>
        </w:tc>
        <w:tc>
          <w:tcPr>
            <w:tcW w:w="0" w:type="auto"/>
            <w:tcBorders>
              <w:right w:val="nil"/>
            </w:tcBorders>
            <w:hideMark/>
          </w:tcPr>
          <w:p w14:paraId="41688119"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[3.301, 3.818]</w:t>
            </w:r>
          </w:p>
        </w:tc>
      </w:tr>
      <w:tr w:rsidR="0014552E" w:rsidRPr="00A52A24" w14:paraId="7890BBB4" w14:textId="77777777" w:rsidTr="001C4758">
        <w:trPr>
          <w:trHeight w:val="138"/>
        </w:trPr>
        <w:tc>
          <w:tcPr>
            <w:tcW w:w="0" w:type="auto"/>
            <w:vMerge/>
            <w:tcBorders>
              <w:left w:val="nil"/>
            </w:tcBorders>
            <w:hideMark/>
          </w:tcPr>
          <w:p w14:paraId="29D7DBF9" w14:textId="77777777" w:rsidR="0014552E" w:rsidRPr="00A52A24" w:rsidRDefault="0014552E" w:rsidP="00156002">
            <w:pPr>
              <w:jc w:val="both"/>
              <w:rPr>
                <w:rFonts w:ascii="Times New Roman" w:hAnsi="Times New Roman" w:cs="Times New Roman"/>
                <w:sz w:val="20"/>
                <w:szCs w:val="20"/>
              </w:rPr>
            </w:pPr>
          </w:p>
        </w:tc>
        <w:tc>
          <w:tcPr>
            <w:tcW w:w="0" w:type="auto"/>
            <w:vAlign w:val="center"/>
          </w:tcPr>
          <w:p w14:paraId="591EB9E5"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30-34</w:t>
            </w:r>
          </w:p>
        </w:tc>
        <w:tc>
          <w:tcPr>
            <w:tcW w:w="0" w:type="auto"/>
            <w:hideMark/>
          </w:tcPr>
          <w:p w14:paraId="0ACE6940"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4.405 ***</w:t>
            </w:r>
          </w:p>
        </w:tc>
        <w:tc>
          <w:tcPr>
            <w:tcW w:w="0" w:type="auto"/>
            <w:tcBorders>
              <w:right w:val="nil"/>
            </w:tcBorders>
            <w:hideMark/>
          </w:tcPr>
          <w:p w14:paraId="2BA874AC"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[4.098, 4.734]</w:t>
            </w:r>
          </w:p>
        </w:tc>
      </w:tr>
      <w:tr w:rsidR="0014552E" w:rsidRPr="00A52A24" w14:paraId="4C5AAB8C" w14:textId="77777777" w:rsidTr="001C4758">
        <w:trPr>
          <w:trHeight w:val="138"/>
        </w:trPr>
        <w:tc>
          <w:tcPr>
            <w:tcW w:w="0" w:type="auto"/>
            <w:vMerge/>
            <w:tcBorders>
              <w:left w:val="nil"/>
            </w:tcBorders>
            <w:hideMark/>
          </w:tcPr>
          <w:p w14:paraId="637DE4B2" w14:textId="77777777" w:rsidR="0014552E" w:rsidRPr="00A52A24" w:rsidRDefault="0014552E" w:rsidP="00156002">
            <w:pPr>
              <w:jc w:val="both"/>
              <w:rPr>
                <w:rFonts w:ascii="Times New Roman" w:hAnsi="Times New Roman" w:cs="Times New Roman"/>
                <w:sz w:val="20"/>
                <w:szCs w:val="20"/>
              </w:rPr>
            </w:pPr>
          </w:p>
        </w:tc>
        <w:tc>
          <w:tcPr>
            <w:tcW w:w="0" w:type="auto"/>
            <w:vAlign w:val="center"/>
          </w:tcPr>
          <w:p w14:paraId="6FBB67B0"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35-39</w:t>
            </w:r>
          </w:p>
        </w:tc>
        <w:tc>
          <w:tcPr>
            <w:tcW w:w="0" w:type="auto"/>
            <w:hideMark/>
          </w:tcPr>
          <w:p w14:paraId="0385C1C7"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4.871 ***</w:t>
            </w:r>
          </w:p>
        </w:tc>
        <w:tc>
          <w:tcPr>
            <w:tcW w:w="0" w:type="auto"/>
            <w:tcBorders>
              <w:right w:val="nil"/>
            </w:tcBorders>
            <w:hideMark/>
          </w:tcPr>
          <w:p w14:paraId="3D67A611"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[4.533, 5.234]</w:t>
            </w:r>
          </w:p>
        </w:tc>
      </w:tr>
      <w:tr w:rsidR="0014552E" w:rsidRPr="00A52A24" w14:paraId="131EE427" w14:textId="77777777" w:rsidTr="001C4758">
        <w:trPr>
          <w:trHeight w:val="138"/>
        </w:trPr>
        <w:tc>
          <w:tcPr>
            <w:tcW w:w="0" w:type="auto"/>
            <w:vMerge/>
            <w:tcBorders>
              <w:left w:val="nil"/>
            </w:tcBorders>
            <w:hideMark/>
          </w:tcPr>
          <w:p w14:paraId="4D73FDBD" w14:textId="77777777" w:rsidR="0014552E" w:rsidRPr="00A52A24" w:rsidRDefault="0014552E" w:rsidP="00156002">
            <w:pPr>
              <w:jc w:val="both"/>
              <w:rPr>
                <w:rFonts w:ascii="Times New Roman" w:hAnsi="Times New Roman" w:cs="Times New Roman"/>
                <w:sz w:val="20"/>
                <w:szCs w:val="20"/>
              </w:rPr>
            </w:pPr>
          </w:p>
        </w:tc>
        <w:tc>
          <w:tcPr>
            <w:tcW w:w="0" w:type="auto"/>
            <w:vAlign w:val="center"/>
          </w:tcPr>
          <w:p w14:paraId="75DA1A5E"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40-44</w:t>
            </w:r>
          </w:p>
        </w:tc>
        <w:tc>
          <w:tcPr>
            <w:tcW w:w="0" w:type="auto"/>
            <w:hideMark/>
          </w:tcPr>
          <w:p w14:paraId="4B3278C4"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5.577 ***</w:t>
            </w:r>
          </w:p>
        </w:tc>
        <w:tc>
          <w:tcPr>
            <w:tcW w:w="0" w:type="auto"/>
            <w:tcBorders>
              <w:right w:val="nil"/>
            </w:tcBorders>
            <w:hideMark/>
          </w:tcPr>
          <w:p w14:paraId="6A4FD157"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[5.185, 5.998]</w:t>
            </w:r>
          </w:p>
        </w:tc>
      </w:tr>
      <w:tr w:rsidR="0014552E" w:rsidRPr="00A52A24" w14:paraId="328162F0" w14:textId="77777777" w:rsidTr="001C4758">
        <w:trPr>
          <w:trHeight w:val="138"/>
        </w:trPr>
        <w:tc>
          <w:tcPr>
            <w:tcW w:w="0" w:type="auto"/>
            <w:vMerge/>
            <w:tcBorders>
              <w:left w:val="nil"/>
            </w:tcBorders>
            <w:hideMark/>
          </w:tcPr>
          <w:p w14:paraId="23237513"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224F29A1"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45-49</w:t>
            </w:r>
          </w:p>
        </w:tc>
        <w:tc>
          <w:tcPr>
            <w:tcW w:w="0" w:type="auto"/>
            <w:hideMark/>
          </w:tcPr>
          <w:p w14:paraId="51FCC327"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6.341 ***</w:t>
            </w:r>
          </w:p>
        </w:tc>
        <w:tc>
          <w:tcPr>
            <w:tcW w:w="0" w:type="auto"/>
            <w:tcBorders>
              <w:right w:val="nil"/>
            </w:tcBorders>
            <w:hideMark/>
          </w:tcPr>
          <w:p w14:paraId="68D79BD0"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[5.891, 6.825]</w:t>
            </w:r>
          </w:p>
        </w:tc>
      </w:tr>
      <w:tr w:rsidR="0014552E" w:rsidRPr="00A52A24" w14:paraId="62449444" w14:textId="77777777" w:rsidTr="001C4758">
        <w:trPr>
          <w:trHeight w:val="254"/>
        </w:trPr>
        <w:tc>
          <w:tcPr>
            <w:tcW w:w="0" w:type="auto"/>
            <w:vMerge w:val="restart"/>
            <w:tcBorders>
              <w:left w:val="nil"/>
            </w:tcBorders>
            <w:hideMark/>
          </w:tcPr>
          <w:p w14:paraId="28BD6C01"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Education level</w:t>
            </w:r>
          </w:p>
          <w:p w14:paraId="05E51B8A"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415E20F3"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Primary</w:t>
            </w:r>
          </w:p>
        </w:tc>
        <w:tc>
          <w:tcPr>
            <w:tcW w:w="0" w:type="auto"/>
            <w:hideMark/>
          </w:tcPr>
          <w:p w14:paraId="5322DD5F"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0.955 **</w:t>
            </w:r>
          </w:p>
        </w:tc>
        <w:tc>
          <w:tcPr>
            <w:tcW w:w="0" w:type="auto"/>
            <w:tcBorders>
              <w:right w:val="nil"/>
            </w:tcBorders>
            <w:hideMark/>
          </w:tcPr>
          <w:p w14:paraId="7B937035"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[0.928, 0.981]</w:t>
            </w:r>
          </w:p>
        </w:tc>
      </w:tr>
      <w:tr w:rsidR="0014552E" w:rsidRPr="00A52A24" w14:paraId="4CDD05F0" w14:textId="77777777" w:rsidTr="001C4758">
        <w:trPr>
          <w:trHeight w:val="138"/>
        </w:trPr>
        <w:tc>
          <w:tcPr>
            <w:tcW w:w="0" w:type="auto"/>
            <w:vMerge/>
            <w:tcBorders>
              <w:left w:val="nil"/>
            </w:tcBorders>
            <w:hideMark/>
          </w:tcPr>
          <w:p w14:paraId="7BF8EE02"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17CFC5DB"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Secondary</w:t>
            </w:r>
          </w:p>
        </w:tc>
        <w:tc>
          <w:tcPr>
            <w:tcW w:w="0" w:type="auto"/>
            <w:hideMark/>
          </w:tcPr>
          <w:p w14:paraId="18E6113E"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0.847 ***</w:t>
            </w:r>
          </w:p>
        </w:tc>
        <w:tc>
          <w:tcPr>
            <w:tcW w:w="0" w:type="auto"/>
            <w:tcBorders>
              <w:right w:val="nil"/>
            </w:tcBorders>
            <w:hideMark/>
          </w:tcPr>
          <w:p w14:paraId="4D303138"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[0.823, 0.873]</w:t>
            </w:r>
          </w:p>
        </w:tc>
      </w:tr>
      <w:tr w:rsidR="0014552E" w:rsidRPr="00A52A24" w14:paraId="173747CF" w14:textId="77777777" w:rsidTr="001C4758">
        <w:trPr>
          <w:trHeight w:val="138"/>
        </w:trPr>
        <w:tc>
          <w:tcPr>
            <w:tcW w:w="0" w:type="auto"/>
            <w:vMerge/>
            <w:tcBorders>
              <w:left w:val="nil"/>
            </w:tcBorders>
            <w:hideMark/>
          </w:tcPr>
          <w:p w14:paraId="5639A4CC"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7C74136D"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Higher</w:t>
            </w:r>
          </w:p>
        </w:tc>
        <w:tc>
          <w:tcPr>
            <w:tcW w:w="0" w:type="auto"/>
            <w:hideMark/>
          </w:tcPr>
          <w:p w14:paraId="0C1A3D54"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0.630 ***</w:t>
            </w:r>
          </w:p>
        </w:tc>
        <w:tc>
          <w:tcPr>
            <w:tcW w:w="0" w:type="auto"/>
            <w:tcBorders>
              <w:right w:val="nil"/>
            </w:tcBorders>
            <w:hideMark/>
          </w:tcPr>
          <w:p w14:paraId="65AF7563"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[0.603, 0.657]</w:t>
            </w:r>
          </w:p>
        </w:tc>
      </w:tr>
      <w:tr w:rsidR="0014552E" w:rsidRPr="00A52A24" w14:paraId="530D05AC" w14:textId="77777777" w:rsidTr="001C4758">
        <w:trPr>
          <w:trHeight w:val="266"/>
        </w:trPr>
        <w:tc>
          <w:tcPr>
            <w:tcW w:w="0" w:type="auto"/>
            <w:vMerge w:val="restart"/>
            <w:tcBorders>
              <w:left w:val="nil"/>
            </w:tcBorders>
            <w:hideMark/>
          </w:tcPr>
          <w:p w14:paraId="3ECA98CE"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Wealth</w:t>
            </w:r>
          </w:p>
          <w:p w14:paraId="7D54F10C"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3EB04DE0"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Middle class</w:t>
            </w:r>
          </w:p>
        </w:tc>
        <w:tc>
          <w:tcPr>
            <w:tcW w:w="0" w:type="auto"/>
            <w:hideMark/>
          </w:tcPr>
          <w:p w14:paraId="0CA84F3D"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0.946 ***</w:t>
            </w:r>
          </w:p>
        </w:tc>
        <w:tc>
          <w:tcPr>
            <w:tcW w:w="0" w:type="auto"/>
            <w:tcBorders>
              <w:right w:val="nil"/>
            </w:tcBorders>
            <w:hideMark/>
          </w:tcPr>
          <w:p w14:paraId="2FF487DD"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[0.921, 0.972]</w:t>
            </w:r>
          </w:p>
        </w:tc>
      </w:tr>
      <w:tr w:rsidR="0014552E" w:rsidRPr="00A52A24" w14:paraId="2C083C73" w14:textId="77777777" w:rsidTr="001C4758">
        <w:trPr>
          <w:trHeight w:val="138"/>
        </w:trPr>
        <w:tc>
          <w:tcPr>
            <w:tcW w:w="0" w:type="auto"/>
            <w:vMerge/>
            <w:tcBorders>
              <w:left w:val="nil"/>
            </w:tcBorders>
            <w:hideMark/>
          </w:tcPr>
          <w:p w14:paraId="359F6FE7"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4094B148"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Rich</w:t>
            </w:r>
          </w:p>
        </w:tc>
        <w:tc>
          <w:tcPr>
            <w:tcW w:w="0" w:type="auto"/>
            <w:hideMark/>
          </w:tcPr>
          <w:p w14:paraId="2361F21F"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0.917 ***</w:t>
            </w:r>
          </w:p>
        </w:tc>
        <w:tc>
          <w:tcPr>
            <w:tcW w:w="0" w:type="auto"/>
            <w:tcBorders>
              <w:right w:val="nil"/>
            </w:tcBorders>
            <w:hideMark/>
          </w:tcPr>
          <w:p w14:paraId="7F92565D"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[0.894, 0.940]</w:t>
            </w:r>
          </w:p>
        </w:tc>
      </w:tr>
      <w:tr w:rsidR="0014552E" w:rsidRPr="00A52A24" w14:paraId="36C2C52C" w14:textId="77777777" w:rsidTr="001C4758">
        <w:trPr>
          <w:trHeight w:val="266"/>
        </w:trPr>
        <w:tc>
          <w:tcPr>
            <w:tcW w:w="0" w:type="auto"/>
            <w:tcBorders>
              <w:left w:val="nil"/>
            </w:tcBorders>
            <w:hideMark/>
          </w:tcPr>
          <w:p w14:paraId="5303DB9F"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Religion</w:t>
            </w:r>
          </w:p>
        </w:tc>
        <w:tc>
          <w:tcPr>
            <w:tcW w:w="0" w:type="auto"/>
            <w:vAlign w:val="center"/>
            <w:hideMark/>
          </w:tcPr>
          <w:p w14:paraId="560D466A"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Muslim</w:t>
            </w:r>
          </w:p>
        </w:tc>
        <w:tc>
          <w:tcPr>
            <w:tcW w:w="0" w:type="auto"/>
            <w:hideMark/>
          </w:tcPr>
          <w:p w14:paraId="565340AD"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1.236 ***</w:t>
            </w:r>
          </w:p>
        </w:tc>
        <w:tc>
          <w:tcPr>
            <w:tcW w:w="0" w:type="auto"/>
            <w:tcBorders>
              <w:right w:val="nil"/>
            </w:tcBorders>
            <w:hideMark/>
          </w:tcPr>
          <w:p w14:paraId="52E50377"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[1.196, 1.278]</w:t>
            </w:r>
          </w:p>
        </w:tc>
      </w:tr>
      <w:tr w:rsidR="0014552E" w:rsidRPr="00A52A24" w14:paraId="669368CA" w14:textId="77777777" w:rsidTr="001C4758">
        <w:trPr>
          <w:trHeight w:val="254"/>
        </w:trPr>
        <w:tc>
          <w:tcPr>
            <w:tcW w:w="0" w:type="auto"/>
            <w:tcBorders>
              <w:left w:val="nil"/>
            </w:tcBorders>
            <w:hideMark/>
          </w:tcPr>
          <w:p w14:paraId="6912F3C3"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Contraceptive use</w:t>
            </w:r>
          </w:p>
        </w:tc>
        <w:tc>
          <w:tcPr>
            <w:tcW w:w="0" w:type="auto"/>
            <w:vAlign w:val="center"/>
            <w:hideMark/>
          </w:tcPr>
          <w:p w14:paraId="171E6452"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Yes</w:t>
            </w:r>
          </w:p>
        </w:tc>
        <w:tc>
          <w:tcPr>
            <w:tcW w:w="0" w:type="auto"/>
            <w:hideMark/>
          </w:tcPr>
          <w:p w14:paraId="03FB6786"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1.277 ***</w:t>
            </w:r>
          </w:p>
        </w:tc>
        <w:tc>
          <w:tcPr>
            <w:tcW w:w="0" w:type="auto"/>
            <w:tcBorders>
              <w:right w:val="nil"/>
            </w:tcBorders>
            <w:hideMark/>
          </w:tcPr>
          <w:p w14:paraId="5EBF28F7"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[1.249, 1.305]</w:t>
            </w:r>
          </w:p>
        </w:tc>
      </w:tr>
      <w:tr w:rsidR="0014552E" w:rsidRPr="00A52A24" w14:paraId="07047BF3" w14:textId="77777777" w:rsidTr="001C4758">
        <w:trPr>
          <w:trHeight w:val="266"/>
        </w:trPr>
        <w:tc>
          <w:tcPr>
            <w:tcW w:w="0" w:type="auto"/>
            <w:vMerge w:val="restart"/>
            <w:tcBorders>
              <w:left w:val="nil"/>
            </w:tcBorders>
            <w:hideMark/>
          </w:tcPr>
          <w:p w14:paraId="4027FE26"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Current marital status</w:t>
            </w:r>
          </w:p>
          <w:p w14:paraId="594DDFCE" w14:textId="77777777" w:rsidR="0014552E" w:rsidRPr="00A52A24" w:rsidRDefault="0014552E" w:rsidP="00156002">
            <w:pPr>
              <w:jc w:val="both"/>
              <w:rPr>
                <w:rFonts w:ascii="Times New Roman" w:hAnsi="Times New Roman" w:cs="Times New Roman"/>
                <w:sz w:val="20"/>
                <w:szCs w:val="20"/>
              </w:rPr>
            </w:pPr>
          </w:p>
          <w:p w14:paraId="1B8FC02C"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74CC25C2"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Married</w:t>
            </w:r>
          </w:p>
        </w:tc>
        <w:tc>
          <w:tcPr>
            <w:tcW w:w="0" w:type="auto"/>
            <w:hideMark/>
          </w:tcPr>
          <w:p w14:paraId="56D17225"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1.263 ***</w:t>
            </w:r>
          </w:p>
        </w:tc>
        <w:tc>
          <w:tcPr>
            <w:tcW w:w="0" w:type="auto"/>
            <w:tcBorders>
              <w:right w:val="nil"/>
            </w:tcBorders>
            <w:hideMark/>
          </w:tcPr>
          <w:p w14:paraId="3C14DA38"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[1.123, 1.422]</w:t>
            </w:r>
          </w:p>
        </w:tc>
      </w:tr>
      <w:tr w:rsidR="0014552E" w:rsidRPr="00A52A24" w14:paraId="34835CD4" w14:textId="77777777" w:rsidTr="001C4758">
        <w:trPr>
          <w:trHeight w:val="138"/>
        </w:trPr>
        <w:tc>
          <w:tcPr>
            <w:tcW w:w="0" w:type="auto"/>
            <w:vMerge/>
            <w:tcBorders>
              <w:left w:val="nil"/>
            </w:tcBorders>
            <w:hideMark/>
          </w:tcPr>
          <w:p w14:paraId="5213D871"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5E63459C"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Widowed</w:t>
            </w:r>
          </w:p>
        </w:tc>
        <w:tc>
          <w:tcPr>
            <w:tcW w:w="0" w:type="auto"/>
            <w:hideMark/>
          </w:tcPr>
          <w:p w14:paraId="2172545B"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1.295 ***</w:t>
            </w:r>
          </w:p>
        </w:tc>
        <w:tc>
          <w:tcPr>
            <w:tcW w:w="0" w:type="auto"/>
            <w:tcBorders>
              <w:right w:val="nil"/>
            </w:tcBorders>
            <w:hideMark/>
          </w:tcPr>
          <w:p w14:paraId="3A1AE300"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[1.140, 1.471]</w:t>
            </w:r>
          </w:p>
        </w:tc>
      </w:tr>
      <w:tr w:rsidR="0014552E" w:rsidRPr="00A52A24" w14:paraId="33578114" w14:textId="77777777" w:rsidTr="001C4758">
        <w:trPr>
          <w:trHeight w:val="138"/>
        </w:trPr>
        <w:tc>
          <w:tcPr>
            <w:tcW w:w="0" w:type="auto"/>
            <w:vMerge/>
            <w:tcBorders>
              <w:left w:val="nil"/>
            </w:tcBorders>
            <w:hideMark/>
          </w:tcPr>
          <w:p w14:paraId="2E8D0516"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7308EF30"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Divorced</w:t>
            </w:r>
          </w:p>
        </w:tc>
        <w:tc>
          <w:tcPr>
            <w:tcW w:w="0" w:type="auto"/>
            <w:hideMark/>
          </w:tcPr>
          <w:p w14:paraId="38CCE83E"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0.692 ***</w:t>
            </w:r>
          </w:p>
        </w:tc>
        <w:tc>
          <w:tcPr>
            <w:tcW w:w="0" w:type="auto"/>
            <w:tcBorders>
              <w:right w:val="nil"/>
            </w:tcBorders>
            <w:hideMark/>
          </w:tcPr>
          <w:p w14:paraId="27F66A44"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[0.587, 0.814]</w:t>
            </w:r>
          </w:p>
        </w:tc>
      </w:tr>
      <w:tr w:rsidR="0014552E" w:rsidRPr="00A52A24" w14:paraId="3CFE08E0" w14:textId="77777777" w:rsidTr="001C4758">
        <w:trPr>
          <w:trHeight w:val="266"/>
        </w:trPr>
        <w:tc>
          <w:tcPr>
            <w:tcW w:w="0" w:type="auto"/>
            <w:tcBorders>
              <w:left w:val="nil"/>
            </w:tcBorders>
            <w:hideMark/>
          </w:tcPr>
          <w:p w14:paraId="3EFFB5F5"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Place of Residence</w:t>
            </w:r>
          </w:p>
        </w:tc>
        <w:tc>
          <w:tcPr>
            <w:tcW w:w="0" w:type="auto"/>
            <w:vAlign w:val="center"/>
            <w:hideMark/>
          </w:tcPr>
          <w:p w14:paraId="72F43BBC"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Rural</w:t>
            </w:r>
          </w:p>
        </w:tc>
        <w:tc>
          <w:tcPr>
            <w:tcW w:w="0" w:type="auto"/>
            <w:hideMark/>
          </w:tcPr>
          <w:p w14:paraId="1EA4A34B"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1.059 ***</w:t>
            </w:r>
          </w:p>
        </w:tc>
        <w:tc>
          <w:tcPr>
            <w:tcW w:w="0" w:type="auto"/>
            <w:tcBorders>
              <w:right w:val="nil"/>
            </w:tcBorders>
            <w:hideMark/>
          </w:tcPr>
          <w:p w14:paraId="2D1941CC"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[1.036, 1.083]</w:t>
            </w:r>
          </w:p>
        </w:tc>
      </w:tr>
      <w:tr w:rsidR="0014552E" w:rsidRPr="00A52A24" w14:paraId="571197E5" w14:textId="77777777" w:rsidTr="001C4758">
        <w:trPr>
          <w:trHeight w:val="266"/>
        </w:trPr>
        <w:tc>
          <w:tcPr>
            <w:tcW w:w="0" w:type="auto"/>
            <w:vMerge w:val="restart"/>
            <w:tcBorders>
              <w:left w:val="nil"/>
            </w:tcBorders>
            <w:hideMark/>
          </w:tcPr>
          <w:p w14:paraId="78A74413" w14:textId="77777777" w:rsidR="0014552E" w:rsidRPr="00A52A24" w:rsidRDefault="0014552E" w:rsidP="00156002">
            <w:pPr>
              <w:jc w:val="both"/>
              <w:rPr>
                <w:rFonts w:ascii="Times New Roman" w:hAnsi="Times New Roman" w:cs="Times New Roman"/>
                <w:sz w:val="20"/>
                <w:szCs w:val="20"/>
              </w:rPr>
            </w:pPr>
            <w:r w:rsidRPr="00A52A24">
              <w:rPr>
                <w:rFonts w:ascii="Times New Roman" w:hAnsi="Times New Roman" w:cs="Times New Roman"/>
                <w:sz w:val="20"/>
                <w:szCs w:val="20"/>
              </w:rPr>
              <w:t>Region</w:t>
            </w:r>
          </w:p>
          <w:p w14:paraId="43EB90C7"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3F1DF025"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Chattogram</w:t>
            </w:r>
          </w:p>
        </w:tc>
        <w:tc>
          <w:tcPr>
            <w:tcW w:w="0" w:type="auto"/>
            <w:hideMark/>
          </w:tcPr>
          <w:p w14:paraId="7A928AB6"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1.138 ***</w:t>
            </w:r>
          </w:p>
        </w:tc>
        <w:tc>
          <w:tcPr>
            <w:tcW w:w="0" w:type="auto"/>
            <w:tcBorders>
              <w:right w:val="nil"/>
            </w:tcBorders>
            <w:hideMark/>
          </w:tcPr>
          <w:p w14:paraId="62E06F10"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[1.096, 1.182]</w:t>
            </w:r>
          </w:p>
        </w:tc>
      </w:tr>
      <w:tr w:rsidR="0014552E" w:rsidRPr="00A52A24" w14:paraId="40CBB486" w14:textId="77777777" w:rsidTr="001C4758">
        <w:trPr>
          <w:trHeight w:val="138"/>
        </w:trPr>
        <w:tc>
          <w:tcPr>
            <w:tcW w:w="0" w:type="auto"/>
            <w:vMerge/>
            <w:tcBorders>
              <w:left w:val="nil"/>
            </w:tcBorders>
            <w:hideMark/>
          </w:tcPr>
          <w:p w14:paraId="58FD1949"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00BFF158"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Dhaka</w:t>
            </w:r>
          </w:p>
        </w:tc>
        <w:tc>
          <w:tcPr>
            <w:tcW w:w="0" w:type="auto"/>
            <w:hideMark/>
          </w:tcPr>
          <w:p w14:paraId="5E9A7F0E"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0.981</w:t>
            </w:r>
          </w:p>
        </w:tc>
        <w:tc>
          <w:tcPr>
            <w:tcW w:w="0" w:type="auto"/>
            <w:tcBorders>
              <w:right w:val="nil"/>
            </w:tcBorders>
            <w:hideMark/>
          </w:tcPr>
          <w:p w14:paraId="68091DDE"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[0.943, 1.020]</w:t>
            </w:r>
          </w:p>
        </w:tc>
      </w:tr>
      <w:tr w:rsidR="0014552E" w:rsidRPr="00A52A24" w14:paraId="32630931" w14:textId="77777777" w:rsidTr="001C4758">
        <w:trPr>
          <w:trHeight w:val="138"/>
        </w:trPr>
        <w:tc>
          <w:tcPr>
            <w:tcW w:w="0" w:type="auto"/>
            <w:vMerge/>
            <w:tcBorders>
              <w:left w:val="nil"/>
            </w:tcBorders>
            <w:hideMark/>
          </w:tcPr>
          <w:p w14:paraId="61D96194"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6B814FFE"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Khulna</w:t>
            </w:r>
          </w:p>
        </w:tc>
        <w:tc>
          <w:tcPr>
            <w:tcW w:w="0" w:type="auto"/>
            <w:hideMark/>
          </w:tcPr>
          <w:p w14:paraId="5AE6AC52"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0.905 ***</w:t>
            </w:r>
          </w:p>
        </w:tc>
        <w:tc>
          <w:tcPr>
            <w:tcW w:w="0" w:type="auto"/>
            <w:tcBorders>
              <w:right w:val="nil"/>
            </w:tcBorders>
            <w:hideMark/>
          </w:tcPr>
          <w:p w14:paraId="5E6DB91A"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[0.868, 0.942]</w:t>
            </w:r>
          </w:p>
        </w:tc>
      </w:tr>
      <w:tr w:rsidR="0014552E" w:rsidRPr="00A52A24" w14:paraId="286EA3A3" w14:textId="77777777" w:rsidTr="001C4758">
        <w:trPr>
          <w:trHeight w:val="138"/>
        </w:trPr>
        <w:tc>
          <w:tcPr>
            <w:tcW w:w="0" w:type="auto"/>
            <w:vMerge/>
            <w:tcBorders>
              <w:left w:val="nil"/>
            </w:tcBorders>
            <w:hideMark/>
          </w:tcPr>
          <w:p w14:paraId="1C64621D"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5214A6AF"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Mymensingh</w:t>
            </w:r>
          </w:p>
        </w:tc>
        <w:tc>
          <w:tcPr>
            <w:tcW w:w="0" w:type="auto"/>
            <w:hideMark/>
          </w:tcPr>
          <w:p w14:paraId="7D4B7198"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1.038</w:t>
            </w:r>
          </w:p>
        </w:tc>
        <w:tc>
          <w:tcPr>
            <w:tcW w:w="0" w:type="auto"/>
            <w:tcBorders>
              <w:right w:val="nil"/>
            </w:tcBorders>
            <w:hideMark/>
          </w:tcPr>
          <w:p w14:paraId="5251D53F"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[0.997, 1.081]</w:t>
            </w:r>
          </w:p>
        </w:tc>
      </w:tr>
      <w:tr w:rsidR="0014552E" w:rsidRPr="00A52A24" w14:paraId="79354E60" w14:textId="77777777" w:rsidTr="001C4758">
        <w:trPr>
          <w:trHeight w:val="138"/>
        </w:trPr>
        <w:tc>
          <w:tcPr>
            <w:tcW w:w="0" w:type="auto"/>
            <w:vMerge/>
            <w:tcBorders>
              <w:left w:val="nil"/>
            </w:tcBorders>
            <w:hideMark/>
          </w:tcPr>
          <w:p w14:paraId="37885E36"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059307BA" w14:textId="77777777" w:rsidR="0014552E" w:rsidRPr="00A52A24" w:rsidRDefault="0014552E" w:rsidP="00156002">
            <w:pPr>
              <w:rPr>
                <w:rFonts w:ascii="Times New Roman" w:hAnsi="Times New Roman" w:cs="Times New Roman"/>
                <w:sz w:val="20"/>
                <w:szCs w:val="20"/>
              </w:rPr>
            </w:pPr>
            <w:proofErr w:type="spellStart"/>
            <w:r w:rsidRPr="00A52A24">
              <w:rPr>
                <w:rFonts w:ascii="Times New Roman" w:hAnsi="Times New Roman" w:cs="Times New Roman"/>
                <w:sz w:val="20"/>
                <w:szCs w:val="20"/>
              </w:rPr>
              <w:t>Rajshahi</w:t>
            </w:r>
            <w:proofErr w:type="spellEnd"/>
          </w:p>
        </w:tc>
        <w:tc>
          <w:tcPr>
            <w:tcW w:w="0" w:type="auto"/>
            <w:hideMark/>
          </w:tcPr>
          <w:p w14:paraId="749C1055"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0.869 ***</w:t>
            </w:r>
          </w:p>
        </w:tc>
        <w:tc>
          <w:tcPr>
            <w:tcW w:w="0" w:type="auto"/>
            <w:tcBorders>
              <w:right w:val="nil"/>
            </w:tcBorders>
            <w:hideMark/>
          </w:tcPr>
          <w:p w14:paraId="222B7BB3"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[0.834, 0.905]</w:t>
            </w:r>
          </w:p>
        </w:tc>
      </w:tr>
      <w:tr w:rsidR="0014552E" w:rsidRPr="00A52A24" w14:paraId="30CE9EC7" w14:textId="77777777" w:rsidTr="001C4758">
        <w:trPr>
          <w:trHeight w:val="138"/>
        </w:trPr>
        <w:tc>
          <w:tcPr>
            <w:tcW w:w="0" w:type="auto"/>
            <w:vMerge/>
            <w:tcBorders>
              <w:left w:val="nil"/>
            </w:tcBorders>
            <w:hideMark/>
          </w:tcPr>
          <w:p w14:paraId="0D0CBC9A"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3CAC2002"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Rangpur</w:t>
            </w:r>
          </w:p>
        </w:tc>
        <w:tc>
          <w:tcPr>
            <w:tcW w:w="0" w:type="auto"/>
            <w:hideMark/>
          </w:tcPr>
          <w:p w14:paraId="3254D22E"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0.961</w:t>
            </w:r>
          </w:p>
        </w:tc>
        <w:tc>
          <w:tcPr>
            <w:tcW w:w="0" w:type="auto"/>
            <w:tcBorders>
              <w:right w:val="nil"/>
            </w:tcBorders>
            <w:hideMark/>
          </w:tcPr>
          <w:p w14:paraId="7B10064D"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[0.923, 1.001]</w:t>
            </w:r>
          </w:p>
        </w:tc>
      </w:tr>
      <w:tr w:rsidR="0014552E" w:rsidRPr="00A52A24" w14:paraId="1B9B05AB" w14:textId="77777777" w:rsidTr="001C4758">
        <w:trPr>
          <w:trHeight w:val="138"/>
        </w:trPr>
        <w:tc>
          <w:tcPr>
            <w:tcW w:w="0" w:type="auto"/>
            <w:vMerge/>
            <w:tcBorders>
              <w:left w:val="nil"/>
            </w:tcBorders>
            <w:hideMark/>
          </w:tcPr>
          <w:p w14:paraId="01ADF3DD" w14:textId="77777777" w:rsidR="0014552E" w:rsidRPr="00A52A24" w:rsidRDefault="0014552E" w:rsidP="00156002">
            <w:pPr>
              <w:jc w:val="both"/>
              <w:rPr>
                <w:rFonts w:ascii="Times New Roman" w:hAnsi="Times New Roman" w:cs="Times New Roman"/>
                <w:sz w:val="20"/>
                <w:szCs w:val="20"/>
              </w:rPr>
            </w:pPr>
          </w:p>
        </w:tc>
        <w:tc>
          <w:tcPr>
            <w:tcW w:w="0" w:type="auto"/>
            <w:vAlign w:val="center"/>
            <w:hideMark/>
          </w:tcPr>
          <w:p w14:paraId="09712846" w14:textId="77777777" w:rsidR="0014552E" w:rsidRPr="00A52A24" w:rsidRDefault="0014552E" w:rsidP="00156002">
            <w:pPr>
              <w:rPr>
                <w:rFonts w:ascii="Times New Roman" w:hAnsi="Times New Roman" w:cs="Times New Roman"/>
                <w:sz w:val="20"/>
                <w:szCs w:val="20"/>
              </w:rPr>
            </w:pPr>
            <w:r w:rsidRPr="00A52A24">
              <w:rPr>
                <w:rFonts w:ascii="Times New Roman" w:hAnsi="Times New Roman" w:cs="Times New Roman"/>
                <w:sz w:val="20"/>
                <w:szCs w:val="20"/>
              </w:rPr>
              <w:t>Sylhet</w:t>
            </w:r>
          </w:p>
        </w:tc>
        <w:tc>
          <w:tcPr>
            <w:tcW w:w="0" w:type="auto"/>
            <w:hideMark/>
          </w:tcPr>
          <w:p w14:paraId="5522C7BE"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1.140 ***</w:t>
            </w:r>
          </w:p>
        </w:tc>
        <w:tc>
          <w:tcPr>
            <w:tcW w:w="0" w:type="auto"/>
            <w:tcBorders>
              <w:right w:val="nil"/>
            </w:tcBorders>
            <w:hideMark/>
          </w:tcPr>
          <w:p w14:paraId="3255AB57" w14:textId="77777777" w:rsidR="0014552E" w:rsidRPr="00A52A24" w:rsidRDefault="0014552E" w:rsidP="00156002">
            <w:pPr>
              <w:jc w:val="center"/>
              <w:rPr>
                <w:rFonts w:ascii="Times New Roman" w:hAnsi="Times New Roman" w:cs="Times New Roman"/>
                <w:sz w:val="20"/>
                <w:szCs w:val="20"/>
              </w:rPr>
            </w:pPr>
            <w:r w:rsidRPr="00A52A24">
              <w:rPr>
                <w:rFonts w:ascii="Times New Roman" w:hAnsi="Times New Roman" w:cs="Times New Roman"/>
                <w:sz w:val="20"/>
                <w:szCs w:val="20"/>
              </w:rPr>
              <w:t>[1.095, 1.187]</w:t>
            </w:r>
          </w:p>
        </w:tc>
      </w:tr>
    </w:tbl>
    <w:p w14:paraId="25353B87" w14:textId="77777777" w:rsidR="0014552E" w:rsidRPr="00A52A24" w:rsidRDefault="0014552E" w:rsidP="0014552E">
      <w:pPr>
        <w:jc w:val="both"/>
        <w:rPr>
          <w:sz w:val="20"/>
          <w:szCs w:val="20"/>
        </w:rPr>
      </w:pPr>
      <w:r w:rsidRPr="00A52A24">
        <w:rPr>
          <w:sz w:val="20"/>
          <w:szCs w:val="20"/>
        </w:rPr>
        <w:t>Note: * p-value&lt; 0.001, IRR-Incidence Rate Ratio</w:t>
      </w:r>
    </w:p>
    <w:p w14:paraId="06396BAF" w14:textId="77777777" w:rsidR="0014552E" w:rsidRPr="00A52A24" w:rsidRDefault="0014552E" w:rsidP="0014552E">
      <w:pPr>
        <w:jc w:val="both"/>
        <w:rPr>
          <w:b/>
          <w:bCs/>
          <w:i/>
          <w:iCs/>
          <w:sz w:val="20"/>
          <w:szCs w:val="20"/>
        </w:rPr>
      </w:pPr>
    </w:p>
    <w:p w14:paraId="69037E72" w14:textId="77777777" w:rsidR="003F223F" w:rsidRDefault="0014552E" w:rsidP="0014552E">
      <w:pPr>
        <w:jc w:val="both"/>
        <w:rPr>
          <w:rStyle w:val="Heading2Char"/>
          <w:rFonts w:ascii="Times New Roman" w:hAnsi="Times New Roman" w:cs="Times New Roman"/>
          <w:sz w:val="20"/>
          <w:szCs w:val="20"/>
        </w:rPr>
      </w:pPr>
      <w:r w:rsidRPr="00A52A24">
        <w:rPr>
          <w:b/>
          <w:bCs/>
          <w:i/>
          <w:iCs/>
          <w:sz w:val="20"/>
          <w:szCs w:val="20"/>
        </w:rPr>
        <w:t>3.4</w:t>
      </w:r>
      <w:r w:rsidRPr="00A52A24">
        <w:rPr>
          <w:sz w:val="20"/>
          <w:szCs w:val="20"/>
        </w:rPr>
        <w:t xml:space="preserve">. </w:t>
      </w:r>
      <w:r w:rsidRPr="00A52A24">
        <w:rPr>
          <w:rStyle w:val="Heading2Char"/>
          <w:rFonts w:ascii="Times New Roman" w:hAnsi="Times New Roman" w:cs="Times New Roman"/>
          <w:sz w:val="20"/>
          <w:szCs w:val="20"/>
        </w:rPr>
        <w:t>Regional and Residential Differences</w:t>
      </w:r>
    </w:p>
    <w:p w14:paraId="5AE9DA30" w14:textId="77777777" w:rsidR="001C4758" w:rsidRPr="001C4758" w:rsidRDefault="001C4758" w:rsidP="0014552E">
      <w:pPr>
        <w:jc w:val="both"/>
        <w:rPr>
          <w:rStyle w:val="Heading2Char"/>
          <w:rFonts w:ascii="Times New Roman" w:hAnsi="Times New Roman" w:cs="Times New Roman"/>
          <w:sz w:val="16"/>
          <w:szCs w:val="16"/>
        </w:rPr>
      </w:pPr>
    </w:p>
    <w:p w14:paraId="5C2158A2" w14:textId="3545FF0A" w:rsidR="0014552E" w:rsidRDefault="0014552E" w:rsidP="003F223F">
      <w:pPr>
        <w:pStyle w:val="Caption"/>
        <w:keepNext/>
        <w:spacing w:line="324" w:lineRule="auto"/>
        <w:rPr>
          <w:b w:val="0"/>
          <w:bCs w:val="0"/>
          <w:sz w:val="20"/>
          <w:szCs w:val="20"/>
        </w:rPr>
      </w:pPr>
      <w:r w:rsidRPr="003F223F">
        <w:rPr>
          <w:b w:val="0"/>
          <w:bCs w:val="0"/>
          <w:sz w:val="20"/>
          <w:szCs w:val="20"/>
        </w:rPr>
        <w:t xml:space="preserve">Figure 1 shows the forest plot of Incidence Rate Ratios (IRRs) and 95% confidence intervals (CIs) for region and place of residence, derived from the generalized Poisson regression model </w:t>
      </w:r>
      <w:r w:rsidRPr="003F223F">
        <w:rPr>
          <w:b w:val="0"/>
          <w:bCs w:val="0"/>
          <w:sz w:val="20"/>
          <w:szCs w:val="20"/>
        </w:rPr>
        <w:lastRenderedPageBreak/>
        <w:t xml:space="preserve">predicting the total number of children ever born. Women in Sylhet (IRR = 1.140) and Chattogram (IRR = 1.138) had higher fertility compared to the reference region, while those in </w:t>
      </w:r>
      <w:proofErr w:type="spellStart"/>
      <w:r w:rsidRPr="003F223F">
        <w:rPr>
          <w:b w:val="0"/>
          <w:bCs w:val="0"/>
          <w:sz w:val="20"/>
          <w:szCs w:val="20"/>
        </w:rPr>
        <w:t>Rajshahi</w:t>
      </w:r>
      <w:proofErr w:type="spellEnd"/>
      <w:r w:rsidRPr="003F223F">
        <w:rPr>
          <w:b w:val="0"/>
          <w:bCs w:val="0"/>
          <w:sz w:val="20"/>
          <w:szCs w:val="20"/>
        </w:rPr>
        <w:t xml:space="preserve"> (IRR = 0.869) and Khulna (IRR = 0.905) had lower fertility. Rural women also had significantly higher fertility (IRR = 1.059) than urban women. There are clear differences in fertility between regions and residential areas.</w:t>
      </w:r>
    </w:p>
    <w:p w14:paraId="305A0D44" w14:textId="77777777" w:rsidR="003F223F" w:rsidRDefault="003F223F" w:rsidP="003F223F"/>
    <w:p w14:paraId="43594486" w14:textId="77777777" w:rsidR="001C4758" w:rsidRPr="003F223F" w:rsidRDefault="001C4758" w:rsidP="003F223F"/>
    <w:p w14:paraId="06522D86" w14:textId="77777777" w:rsidR="0014552E" w:rsidRPr="00A52A24" w:rsidRDefault="0014552E" w:rsidP="0014552E">
      <w:pPr>
        <w:jc w:val="center"/>
        <w:rPr>
          <w:b/>
          <w:bCs/>
          <w:sz w:val="20"/>
          <w:szCs w:val="20"/>
        </w:rPr>
      </w:pPr>
      <w:r w:rsidRPr="00A52A24">
        <w:rPr>
          <w:b/>
          <w:bCs/>
          <w:noProof/>
          <w:sz w:val="20"/>
          <w:szCs w:val="20"/>
        </w:rPr>
        <w:drawing>
          <wp:inline distT="0" distB="0" distL="0" distR="0" wp14:anchorId="0086079A" wp14:editId="727ABF62">
            <wp:extent cx="3936391" cy="2375647"/>
            <wp:effectExtent l="0" t="0" r="0" b="0"/>
            <wp:docPr id="1290468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2177" cy="2397244"/>
                    </a:xfrm>
                    <a:prstGeom prst="rect">
                      <a:avLst/>
                    </a:prstGeom>
                    <a:noFill/>
                  </pic:spPr>
                </pic:pic>
              </a:graphicData>
            </a:graphic>
          </wp:inline>
        </w:drawing>
      </w:r>
    </w:p>
    <w:p w14:paraId="1271DC58" w14:textId="77777777" w:rsidR="003F223F" w:rsidRDefault="003F223F" w:rsidP="0014552E">
      <w:pPr>
        <w:jc w:val="center"/>
        <w:rPr>
          <w:b/>
          <w:bCs/>
          <w:sz w:val="20"/>
          <w:szCs w:val="20"/>
        </w:rPr>
      </w:pPr>
    </w:p>
    <w:p w14:paraId="19A92C06" w14:textId="78964AC4" w:rsidR="0014552E" w:rsidRPr="00A52A24" w:rsidRDefault="0014552E" w:rsidP="0014552E">
      <w:pPr>
        <w:jc w:val="center"/>
        <w:rPr>
          <w:b/>
          <w:bCs/>
          <w:i/>
          <w:iCs/>
          <w:sz w:val="20"/>
          <w:szCs w:val="20"/>
        </w:rPr>
      </w:pPr>
      <w:r w:rsidRPr="00A52A24">
        <w:rPr>
          <w:b/>
          <w:bCs/>
          <w:sz w:val="20"/>
          <w:szCs w:val="20"/>
        </w:rPr>
        <w:t>Figure 1</w:t>
      </w:r>
      <w:r w:rsidR="003F223F">
        <w:rPr>
          <w:b/>
          <w:bCs/>
          <w:sz w:val="20"/>
          <w:szCs w:val="20"/>
        </w:rPr>
        <w:t>.</w:t>
      </w:r>
      <w:r w:rsidRPr="00A52A24">
        <w:rPr>
          <w:b/>
          <w:bCs/>
          <w:i/>
          <w:iCs/>
          <w:sz w:val="20"/>
          <w:szCs w:val="20"/>
        </w:rPr>
        <w:t xml:space="preserve"> </w:t>
      </w:r>
      <w:r w:rsidRPr="00A52A24">
        <w:rPr>
          <w:sz w:val="20"/>
          <w:szCs w:val="20"/>
        </w:rPr>
        <w:t>Forest Plot of IRRs for Region and Residence</w:t>
      </w:r>
    </w:p>
    <w:p w14:paraId="0A0A9A74" w14:textId="77777777" w:rsidR="0014552E" w:rsidRPr="00A52A24" w:rsidRDefault="0014552E" w:rsidP="0014552E">
      <w:pPr>
        <w:jc w:val="both"/>
        <w:rPr>
          <w:b/>
          <w:bCs/>
          <w:sz w:val="20"/>
          <w:szCs w:val="20"/>
        </w:rPr>
      </w:pPr>
    </w:p>
    <w:p w14:paraId="53D4176D" w14:textId="77777777" w:rsidR="0014552E" w:rsidRDefault="0014552E" w:rsidP="003F223F">
      <w:pPr>
        <w:pStyle w:val="ListParagraph"/>
        <w:numPr>
          <w:ilvl w:val="0"/>
          <w:numId w:val="16"/>
        </w:numPr>
        <w:spacing w:after="0" w:line="240" w:lineRule="auto"/>
        <w:ind w:left="284" w:hanging="284"/>
        <w:jc w:val="both"/>
        <w:rPr>
          <w:rFonts w:ascii="Times New Roman" w:hAnsi="Times New Roman" w:cs="Times New Roman"/>
          <w:b/>
          <w:bCs/>
          <w:sz w:val="20"/>
          <w:szCs w:val="20"/>
        </w:rPr>
      </w:pPr>
      <w:r w:rsidRPr="00A52A24">
        <w:rPr>
          <w:rFonts w:ascii="Times New Roman" w:hAnsi="Times New Roman" w:cs="Times New Roman"/>
          <w:b/>
          <w:bCs/>
          <w:sz w:val="20"/>
          <w:szCs w:val="20"/>
        </w:rPr>
        <w:t>Discussion</w:t>
      </w:r>
    </w:p>
    <w:p w14:paraId="1B59EEAC" w14:textId="77777777" w:rsidR="003F223F" w:rsidRPr="003F223F" w:rsidRDefault="003F223F" w:rsidP="003F223F">
      <w:pPr>
        <w:jc w:val="both"/>
        <w:rPr>
          <w:b/>
          <w:bCs/>
          <w:sz w:val="20"/>
          <w:szCs w:val="20"/>
        </w:rPr>
      </w:pPr>
    </w:p>
    <w:p w14:paraId="0A938EC9" w14:textId="77777777" w:rsidR="0014552E" w:rsidRDefault="0014552E" w:rsidP="003F223F">
      <w:pPr>
        <w:pStyle w:val="NormalWeb"/>
        <w:spacing w:before="0" w:beforeAutospacing="0" w:after="0" w:afterAutospacing="0" w:line="324" w:lineRule="auto"/>
        <w:jc w:val="both"/>
        <w:rPr>
          <w:sz w:val="20"/>
          <w:szCs w:val="20"/>
        </w:rPr>
      </w:pPr>
      <w:r w:rsidRPr="00A52A24">
        <w:rPr>
          <w:sz w:val="20"/>
          <w:szCs w:val="20"/>
        </w:rPr>
        <w:t xml:space="preserve">This research aimed to investigate the socio-demographic and regional determinants of fertility in Bangladesh by analyzing the total number of children ever born (TCEB) among women aged 15–49 using BDHS 2022 data. Employing the Generalized Poisson Regression Model (GPRM) provided flexibility for addressing potential dispersion in count data. While the distribution did not indicate overdispersion, the GPRM provided a robust framework for modeling TCEB with improved parameter estimation. The findings indicate significant disparities in fertility patterns by age of respondents, education level, wealth, religion, current marital status, place of residence, and contraceptive use. The results confirm that </w:t>
      </w:r>
      <w:r w:rsidRPr="00A52A24">
        <w:rPr>
          <w:rStyle w:val="Strong"/>
          <w:rFonts w:eastAsiaTheme="majorEastAsia"/>
          <w:b w:val="0"/>
          <w:bCs w:val="0"/>
          <w:sz w:val="20"/>
          <w:szCs w:val="20"/>
        </w:rPr>
        <w:t>age</w:t>
      </w:r>
      <w:r w:rsidRPr="00A52A24">
        <w:rPr>
          <w:sz w:val="20"/>
          <w:szCs w:val="20"/>
        </w:rPr>
        <w:t xml:space="preserve"> is a strong and consistent predictor of fertility, with older women exhibiting higher fertility than those ages 15-19, which reflects the cumulative exposure to childbearing over time (</w:t>
      </w:r>
      <w:proofErr w:type="spellStart"/>
      <w:r w:rsidRPr="00A52A24">
        <w:rPr>
          <w:sz w:val="20"/>
          <w:szCs w:val="20"/>
        </w:rPr>
        <w:t>Bongaarts</w:t>
      </w:r>
      <w:proofErr w:type="spellEnd"/>
      <w:r w:rsidRPr="00A52A24">
        <w:rPr>
          <w:sz w:val="20"/>
          <w:szCs w:val="20"/>
        </w:rPr>
        <w:t xml:space="preserve">, 2001; </w:t>
      </w:r>
      <w:proofErr w:type="spellStart"/>
      <w:r w:rsidRPr="00A52A24">
        <w:rPr>
          <w:sz w:val="20"/>
          <w:szCs w:val="20"/>
        </w:rPr>
        <w:t>Ibeji</w:t>
      </w:r>
      <w:proofErr w:type="spellEnd"/>
      <w:r w:rsidRPr="00A52A24">
        <w:rPr>
          <w:sz w:val="20"/>
          <w:szCs w:val="20"/>
        </w:rPr>
        <w:t xml:space="preserve"> et al., 2020).  </w:t>
      </w:r>
    </w:p>
    <w:p w14:paraId="6CAEEDA2" w14:textId="77777777" w:rsidR="003F223F" w:rsidRPr="00A52A24" w:rsidRDefault="003F223F" w:rsidP="003F223F">
      <w:pPr>
        <w:pStyle w:val="NormalWeb"/>
        <w:spacing w:before="0" w:beforeAutospacing="0" w:after="0" w:afterAutospacing="0" w:line="324" w:lineRule="auto"/>
        <w:jc w:val="both"/>
        <w:rPr>
          <w:sz w:val="20"/>
          <w:szCs w:val="20"/>
        </w:rPr>
      </w:pPr>
    </w:p>
    <w:p w14:paraId="59D974DB" w14:textId="77777777" w:rsidR="0014552E" w:rsidRPr="00A52A24" w:rsidRDefault="0014552E" w:rsidP="003F223F">
      <w:pPr>
        <w:pStyle w:val="NormalWeb"/>
        <w:spacing w:before="0" w:beforeAutospacing="0" w:after="0" w:afterAutospacing="0" w:line="324" w:lineRule="auto"/>
        <w:jc w:val="both"/>
        <w:rPr>
          <w:sz w:val="20"/>
          <w:szCs w:val="20"/>
        </w:rPr>
      </w:pPr>
      <w:r w:rsidRPr="00A52A24">
        <w:rPr>
          <w:sz w:val="20"/>
          <w:szCs w:val="20"/>
        </w:rPr>
        <w:t xml:space="preserve">Education had a strong inverse association with fertility. Women with secondary and higher education had significantly fewer children compared to those with no education. This is likely due to delayed marriage, better knowledge of reproductive health, and higher autonomy among </w:t>
      </w:r>
      <w:r w:rsidRPr="00A52A24">
        <w:rPr>
          <w:sz w:val="20"/>
          <w:szCs w:val="20"/>
        </w:rPr>
        <w:lastRenderedPageBreak/>
        <w:t>educated women, which is consistent with findings from Cleland et al. (2013) and Channon &amp; Harper (2020). Contrary to classical demographic transition theory, women in middle- and high-income households reported slightly lower fertility than those in poorer households, though the difference was modest. This may indicate that wealthier families in Bangladesh are beginning to prioritize smaller family sizes, reflecting evolving economic and social aspirations (Tessema et al., 2021). Religious affiliation was another key determinant of TCEB. Muslim women exhibited significantly higher fertility compared to non-Muslims, which supports previous research showing the influence of religious norms and values on reproductive preferences (Rahman et al., 2022). Interestingly, although contraceptive use showed a positive association with TCEB, this may reflect reverse causality. Women tend to adopt contraception after having several children. This aligns with prior literature indicating that cross-sectional data may not fully capture temporal relationships between fertility and contraceptive behavior (</w:t>
      </w:r>
      <w:proofErr w:type="spellStart"/>
      <w:r w:rsidRPr="00A52A24">
        <w:rPr>
          <w:sz w:val="20"/>
          <w:szCs w:val="20"/>
        </w:rPr>
        <w:t>Bongaarts</w:t>
      </w:r>
      <w:proofErr w:type="spellEnd"/>
      <w:r w:rsidRPr="00A52A24">
        <w:rPr>
          <w:sz w:val="20"/>
          <w:szCs w:val="20"/>
        </w:rPr>
        <w:t>, 2001).</w:t>
      </w:r>
    </w:p>
    <w:p w14:paraId="0664EC79" w14:textId="77777777" w:rsidR="0014552E" w:rsidRPr="00A52A24" w:rsidRDefault="0014552E" w:rsidP="0014552E">
      <w:pPr>
        <w:pStyle w:val="NormalWeb"/>
        <w:spacing w:before="0" w:beforeAutospacing="0" w:after="0" w:afterAutospacing="0"/>
        <w:jc w:val="both"/>
        <w:rPr>
          <w:sz w:val="20"/>
          <w:szCs w:val="20"/>
        </w:rPr>
      </w:pPr>
    </w:p>
    <w:p w14:paraId="68D09B8C" w14:textId="77777777" w:rsidR="0014552E" w:rsidRPr="00A52A24" w:rsidRDefault="0014552E" w:rsidP="003F223F">
      <w:pPr>
        <w:pStyle w:val="NormalWeb"/>
        <w:spacing w:before="0" w:beforeAutospacing="0" w:after="0" w:afterAutospacing="0" w:line="324" w:lineRule="auto"/>
        <w:jc w:val="both"/>
        <w:rPr>
          <w:sz w:val="20"/>
          <w:szCs w:val="20"/>
        </w:rPr>
      </w:pPr>
      <w:r w:rsidRPr="00A52A24">
        <w:rPr>
          <w:sz w:val="20"/>
          <w:szCs w:val="20"/>
        </w:rPr>
        <w:t xml:space="preserve">The forest plot highlights substantial </w:t>
      </w:r>
      <w:r w:rsidRPr="00A52A24">
        <w:rPr>
          <w:rStyle w:val="Strong"/>
          <w:rFonts w:eastAsiaTheme="majorEastAsia"/>
          <w:b w:val="0"/>
          <w:bCs w:val="0"/>
          <w:sz w:val="20"/>
          <w:szCs w:val="20"/>
        </w:rPr>
        <w:t>regional and residential variations</w:t>
      </w:r>
      <w:r w:rsidRPr="00A52A24">
        <w:rPr>
          <w:sz w:val="20"/>
          <w:szCs w:val="20"/>
        </w:rPr>
        <w:t xml:space="preserve"> in fertility. Women residing in </w:t>
      </w:r>
      <w:r w:rsidRPr="00A52A24">
        <w:rPr>
          <w:rStyle w:val="Strong"/>
          <w:rFonts w:eastAsiaTheme="majorEastAsia"/>
          <w:b w:val="0"/>
          <w:bCs w:val="0"/>
          <w:sz w:val="20"/>
          <w:szCs w:val="20"/>
        </w:rPr>
        <w:t>rural areas</w:t>
      </w:r>
      <w:r w:rsidRPr="00A52A24">
        <w:rPr>
          <w:sz w:val="20"/>
          <w:szCs w:val="20"/>
        </w:rPr>
        <w:t xml:space="preserve"> had significantly higher fertility than their urban counterparts, likely due to traditional family structures, limited access to family planning, and differences in female employment and education opportunities (Uddin et al., 2022). Among divisions, </w:t>
      </w:r>
      <w:r w:rsidRPr="00A52A24">
        <w:rPr>
          <w:rStyle w:val="Strong"/>
          <w:rFonts w:eastAsiaTheme="majorEastAsia"/>
          <w:b w:val="0"/>
          <w:bCs w:val="0"/>
          <w:sz w:val="20"/>
          <w:szCs w:val="20"/>
        </w:rPr>
        <w:t>Sylhet and</w:t>
      </w:r>
      <w:r w:rsidRPr="00A52A24">
        <w:rPr>
          <w:rStyle w:val="Strong"/>
          <w:rFonts w:eastAsiaTheme="majorEastAsia"/>
          <w:sz w:val="20"/>
          <w:szCs w:val="20"/>
        </w:rPr>
        <w:t xml:space="preserve"> </w:t>
      </w:r>
      <w:r w:rsidRPr="00A52A24">
        <w:rPr>
          <w:rStyle w:val="Strong"/>
          <w:rFonts w:eastAsiaTheme="majorEastAsia"/>
          <w:b w:val="0"/>
          <w:bCs w:val="0"/>
          <w:sz w:val="20"/>
          <w:szCs w:val="20"/>
        </w:rPr>
        <w:t>Chattogram</w:t>
      </w:r>
      <w:r w:rsidRPr="00A52A24">
        <w:rPr>
          <w:b/>
          <w:bCs/>
          <w:sz w:val="20"/>
          <w:szCs w:val="20"/>
        </w:rPr>
        <w:t xml:space="preserve"> </w:t>
      </w:r>
      <w:r w:rsidRPr="00A52A24">
        <w:rPr>
          <w:sz w:val="20"/>
          <w:szCs w:val="20"/>
        </w:rPr>
        <w:t xml:space="preserve">exhibited significantly higher fertility, while </w:t>
      </w:r>
      <w:proofErr w:type="spellStart"/>
      <w:r w:rsidRPr="00A52A24">
        <w:rPr>
          <w:rStyle w:val="Strong"/>
          <w:rFonts w:eastAsiaTheme="majorEastAsia"/>
          <w:b w:val="0"/>
          <w:bCs w:val="0"/>
          <w:sz w:val="20"/>
          <w:szCs w:val="20"/>
        </w:rPr>
        <w:t>Rajshahi</w:t>
      </w:r>
      <w:proofErr w:type="spellEnd"/>
      <w:r w:rsidRPr="00A52A24">
        <w:rPr>
          <w:rStyle w:val="Strong"/>
          <w:rFonts w:eastAsiaTheme="majorEastAsia"/>
          <w:b w:val="0"/>
          <w:bCs w:val="0"/>
          <w:sz w:val="20"/>
          <w:szCs w:val="20"/>
        </w:rPr>
        <w:t xml:space="preserve"> and Khulna</w:t>
      </w:r>
      <w:r w:rsidRPr="00A52A24">
        <w:rPr>
          <w:sz w:val="20"/>
          <w:szCs w:val="20"/>
        </w:rPr>
        <w:t xml:space="preserve"> showed lower fertility levels. These regional disparities may reflect variation in socio-cultural norms, contraceptive availability, health service access, and educational attainment across divisions (Tessema et al., 2021; BDHS, 2022).</w:t>
      </w:r>
    </w:p>
    <w:p w14:paraId="25EC2F8A" w14:textId="77777777" w:rsidR="0014552E" w:rsidRPr="00A52A24" w:rsidRDefault="0014552E" w:rsidP="0014552E">
      <w:pPr>
        <w:pStyle w:val="NormalWeb"/>
        <w:spacing w:before="0" w:beforeAutospacing="0" w:after="0" w:afterAutospacing="0"/>
        <w:jc w:val="both"/>
        <w:rPr>
          <w:sz w:val="20"/>
          <w:szCs w:val="20"/>
        </w:rPr>
      </w:pPr>
    </w:p>
    <w:p w14:paraId="70E88743" w14:textId="77777777" w:rsidR="0014552E" w:rsidRDefault="0014552E" w:rsidP="0014552E">
      <w:pPr>
        <w:pStyle w:val="ListParagraph"/>
        <w:numPr>
          <w:ilvl w:val="0"/>
          <w:numId w:val="16"/>
        </w:numPr>
        <w:spacing w:after="0" w:line="240" w:lineRule="auto"/>
        <w:jc w:val="both"/>
        <w:rPr>
          <w:rFonts w:ascii="Times New Roman" w:hAnsi="Times New Roman" w:cs="Times New Roman"/>
          <w:b/>
          <w:bCs/>
          <w:sz w:val="20"/>
          <w:szCs w:val="20"/>
        </w:rPr>
      </w:pPr>
      <w:r w:rsidRPr="00A52A24">
        <w:rPr>
          <w:rFonts w:ascii="Times New Roman" w:hAnsi="Times New Roman" w:cs="Times New Roman"/>
          <w:b/>
          <w:bCs/>
          <w:sz w:val="20"/>
          <w:szCs w:val="20"/>
        </w:rPr>
        <w:t>Conclusion</w:t>
      </w:r>
    </w:p>
    <w:p w14:paraId="0885B702" w14:textId="77777777" w:rsidR="003F223F" w:rsidRPr="00A52A24" w:rsidRDefault="003F223F" w:rsidP="003F223F">
      <w:pPr>
        <w:pStyle w:val="ListParagraph"/>
        <w:spacing w:after="0" w:line="240" w:lineRule="auto"/>
        <w:ind w:left="360"/>
        <w:jc w:val="both"/>
        <w:rPr>
          <w:rFonts w:ascii="Times New Roman" w:hAnsi="Times New Roman" w:cs="Times New Roman"/>
          <w:b/>
          <w:bCs/>
          <w:sz w:val="20"/>
          <w:szCs w:val="20"/>
        </w:rPr>
      </w:pPr>
    </w:p>
    <w:p w14:paraId="239A1625" w14:textId="77777777" w:rsidR="0014552E" w:rsidRPr="00A52A24" w:rsidRDefault="0014552E" w:rsidP="003F223F">
      <w:pPr>
        <w:spacing w:line="324" w:lineRule="auto"/>
        <w:jc w:val="both"/>
        <w:rPr>
          <w:sz w:val="20"/>
          <w:szCs w:val="20"/>
        </w:rPr>
      </w:pPr>
      <w:r w:rsidRPr="00A52A24">
        <w:rPr>
          <w:sz w:val="20"/>
          <w:szCs w:val="20"/>
        </w:rPr>
        <w:t xml:space="preserve">This study analyzed TCEB among Bangladeshi women aged 15–49 using the BDHS 2022 dataset. Our findings revealed that the TCEB increases significantly with age, with women aged 45–49 having over 6.341 times the fertility rate compared to the youngest group. Education showed a strong inverse relationship with fertility, particularly among those with secondary or higher education. Muslim women, those residing in rural areas, and those currently married or widowed had significantly higher fertility. Although contraceptive use was positively associated with TCEB, this may reflect reverse causality, where women adopt contraception after reaching the desired family size. Regionally, women in Sylhet and Chattogram divisions exhibited significantly higher fertility, while those in Khulna and </w:t>
      </w:r>
      <w:proofErr w:type="spellStart"/>
      <w:r w:rsidRPr="00A52A24">
        <w:rPr>
          <w:sz w:val="20"/>
          <w:szCs w:val="20"/>
        </w:rPr>
        <w:t>Rajshahi</w:t>
      </w:r>
      <w:proofErr w:type="spellEnd"/>
      <w:r w:rsidRPr="00A52A24">
        <w:rPr>
          <w:sz w:val="20"/>
          <w:szCs w:val="20"/>
        </w:rPr>
        <w:t xml:space="preserve"> had lower rates. These disparities emphasize the need for regionally targeted interventions focused on education, access to reproductive healthcare, and culturally sensitive family planning programs to reduce fertility inequality and support Bangladesh’s progress toward SDG targets.</w:t>
      </w:r>
    </w:p>
    <w:p w14:paraId="69504635" w14:textId="77777777" w:rsidR="0014552E" w:rsidRPr="00A52A24" w:rsidRDefault="0014552E" w:rsidP="0014552E">
      <w:pPr>
        <w:jc w:val="both"/>
        <w:rPr>
          <w:sz w:val="20"/>
          <w:szCs w:val="20"/>
        </w:rPr>
      </w:pPr>
    </w:p>
    <w:p w14:paraId="47A24502" w14:textId="60862E0E" w:rsidR="0014552E" w:rsidRDefault="0014552E" w:rsidP="0014552E">
      <w:pPr>
        <w:jc w:val="both"/>
        <w:rPr>
          <w:b/>
          <w:bCs/>
          <w:sz w:val="20"/>
          <w:szCs w:val="20"/>
        </w:rPr>
      </w:pPr>
      <w:r w:rsidRPr="00A52A24">
        <w:rPr>
          <w:b/>
          <w:bCs/>
          <w:sz w:val="20"/>
          <w:szCs w:val="20"/>
        </w:rPr>
        <w:lastRenderedPageBreak/>
        <w:t>Declarations</w:t>
      </w:r>
    </w:p>
    <w:p w14:paraId="370B6C38" w14:textId="77777777" w:rsidR="003F223F" w:rsidRPr="00A52A24" w:rsidRDefault="003F223F" w:rsidP="0014552E">
      <w:pPr>
        <w:jc w:val="both"/>
        <w:rPr>
          <w:b/>
          <w:bCs/>
          <w:sz w:val="20"/>
          <w:szCs w:val="20"/>
        </w:rPr>
      </w:pPr>
    </w:p>
    <w:p w14:paraId="373E2AD4" w14:textId="77777777" w:rsidR="0014552E" w:rsidRDefault="0014552E" w:rsidP="0014552E">
      <w:pPr>
        <w:jc w:val="both"/>
        <w:rPr>
          <w:b/>
          <w:bCs/>
          <w:sz w:val="20"/>
          <w:szCs w:val="20"/>
        </w:rPr>
      </w:pPr>
      <w:r w:rsidRPr="00A52A24">
        <w:rPr>
          <w:b/>
          <w:bCs/>
          <w:sz w:val="20"/>
          <w:szCs w:val="20"/>
        </w:rPr>
        <w:t>Ethics Approval and Consent to Participate</w:t>
      </w:r>
    </w:p>
    <w:p w14:paraId="55317D8B" w14:textId="77777777" w:rsidR="003F223F" w:rsidRPr="00A52A24" w:rsidRDefault="003F223F" w:rsidP="0014552E">
      <w:pPr>
        <w:jc w:val="both"/>
        <w:rPr>
          <w:b/>
          <w:bCs/>
          <w:sz w:val="20"/>
          <w:szCs w:val="20"/>
        </w:rPr>
      </w:pPr>
    </w:p>
    <w:p w14:paraId="66FDDD55" w14:textId="77777777" w:rsidR="0014552E" w:rsidRPr="00A52A24" w:rsidRDefault="0014552E" w:rsidP="003F223F">
      <w:pPr>
        <w:spacing w:line="324" w:lineRule="auto"/>
        <w:jc w:val="both"/>
        <w:rPr>
          <w:sz w:val="20"/>
          <w:szCs w:val="20"/>
        </w:rPr>
      </w:pPr>
      <w:r w:rsidRPr="00A52A24">
        <w:rPr>
          <w:sz w:val="20"/>
          <w:szCs w:val="20"/>
        </w:rPr>
        <w:t>This study used publicly available data from the Bangladesh Demographic and Health Survey (BDHS 2022), which was ethically approved by the Institutional Review Board of ICF International and the Ethics Review Committee of NIPORT (</w:t>
      </w:r>
      <w:hyperlink r:id="rId9" w:history="1">
        <w:r w:rsidRPr="00A52A24">
          <w:rPr>
            <w:rStyle w:val="Hyperlink"/>
            <w:sz w:val="20"/>
            <w:szCs w:val="20"/>
          </w:rPr>
          <w:t>https://dhsprogram.com</w:t>
        </w:r>
      </w:hyperlink>
      <w:r w:rsidRPr="00A52A24">
        <w:rPr>
          <w:sz w:val="20"/>
          <w:szCs w:val="20"/>
        </w:rPr>
        <w:t>).</w:t>
      </w:r>
    </w:p>
    <w:p w14:paraId="3420E94F" w14:textId="2C4F0A52" w:rsidR="0014552E" w:rsidRDefault="0014552E" w:rsidP="0014552E">
      <w:pPr>
        <w:jc w:val="both"/>
        <w:rPr>
          <w:b/>
          <w:bCs/>
          <w:sz w:val="20"/>
          <w:szCs w:val="20"/>
        </w:rPr>
      </w:pPr>
      <w:r w:rsidRPr="00A52A24">
        <w:rPr>
          <w:b/>
          <w:bCs/>
          <w:sz w:val="20"/>
          <w:szCs w:val="20"/>
        </w:rPr>
        <w:t>Acknowledgments</w:t>
      </w:r>
    </w:p>
    <w:p w14:paraId="4057508E" w14:textId="77777777" w:rsidR="004151DD" w:rsidRPr="00A52A24" w:rsidRDefault="004151DD" w:rsidP="0014552E">
      <w:pPr>
        <w:jc w:val="both"/>
        <w:rPr>
          <w:b/>
          <w:bCs/>
          <w:sz w:val="20"/>
          <w:szCs w:val="20"/>
        </w:rPr>
      </w:pPr>
    </w:p>
    <w:p w14:paraId="6DA356F6" w14:textId="77777777" w:rsidR="0014552E" w:rsidRPr="00A52A24" w:rsidRDefault="0014552E" w:rsidP="003F223F">
      <w:pPr>
        <w:spacing w:line="324" w:lineRule="auto"/>
        <w:jc w:val="both"/>
        <w:rPr>
          <w:sz w:val="20"/>
          <w:szCs w:val="20"/>
        </w:rPr>
      </w:pPr>
      <w:r w:rsidRPr="00A52A24">
        <w:rPr>
          <w:sz w:val="20"/>
          <w:szCs w:val="20"/>
        </w:rPr>
        <w:t>The authors are grateful to the Demographic and Health Surveys (DHS) Program for allowing access to the BDHS 2022 data.</w:t>
      </w:r>
    </w:p>
    <w:p w14:paraId="2E4BFE59" w14:textId="77777777" w:rsidR="0014552E" w:rsidRPr="00A52A24" w:rsidRDefault="0014552E" w:rsidP="0014552E">
      <w:pPr>
        <w:jc w:val="both"/>
        <w:rPr>
          <w:sz w:val="20"/>
          <w:szCs w:val="20"/>
        </w:rPr>
      </w:pPr>
    </w:p>
    <w:p w14:paraId="34697439" w14:textId="77777777" w:rsidR="0014552E" w:rsidRDefault="0014552E" w:rsidP="0014552E">
      <w:pPr>
        <w:jc w:val="both"/>
        <w:rPr>
          <w:b/>
          <w:bCs/>
          <w:sz w:val="20"/>
          <w:szCs w:val="20"/>
        </w:rPr>
      </w:pPr>
      <w:r w:rsidRPr="00A52A24">
        <w:rPr>
          <w:b/>
          <w:bCs/>
          <w:sz w:val="20"/>
          <w:szCs w:val="20"/>
        </w:rPr>
        <w:t>References</w:t>
      </w:r>
    </w:p>
    <w:p w14:paraId="345439C2" w14:textId="77777777" w:rsidR="004151DD" w:rsidRPr="00A52A24" w:rsidRDefault="004151DD" w:rsidP="0014552E">
      <w:pPr>
        <w:jc w:val="both"/>
        <w:rPr>
          <w:b/>
          <w:bCs/>
          <w:sz w:val="20"/>
          <w:szCs w:val="20"/>
        </w:rPr>
      </w:pPr>
    </w:p>
    <w:p w14:paraId="4C9C8B05" w14:textId="77777777" w:rsidR="0014552E" w:rsidRPr="00A52A24" w:rsidRDefault="0014552E" w:rsidP="004151DD">
      <w:pPr>
        <w:spacing w:line="27" w:lineRule="atLeast"/>
        <w:ind w:left="567" w:hanging="567"/>
        <w:jc w:val="both"/>
        <w:rPr>
          <w:sz w:val="20"/>
          <w:szCs w:val="20"/>
        </w:rPr>
      </w:pPr>
      <w:r w:rsidRPr="00A52A24">
        <w:rPr>
          <w:sz w:val="20"/>
          <w:szCs w:val="20"/>
        </w:rPr>
        <w:t xml:space="preserve">Akib, M. M., &amp; Pal, B. (2024). Analyzing number of children ever born in Bangladesh using generalized Poisson regression model. </w:t>
      </w:r>
      <w:r w:rsidRPr="00A52A24">
        <w:rPr>
          <w:i/>
          <w:iCs/>
          <w:sz w:val="20"/>
          <w:szCs w:val="20"/>
        </w:rPr>
        <w:t>Dhaka University Journal of Science</w:t>
      </w:r>
      <w:r w:rsidRPr="00A52A24">
        <w:rPr>
          <w:sz w:val="20"/>
          <w:szCs w:val="20"/>
        </w:rPr>
        <w:t>.</w:t>
      </w:r>
    </w:p>
    <w:p w14:paraId="2C8E1044" w14:textId="77777777" w:rsidR="0014552E" w:rsidRPr="00A52A24" w:rsidRDefault="0014552E" w:rsidP="004151DD">
      <w:pPr>
        <w:spacing w:line="27" w:lineRule="atLeast"/>
        <w:ind w:left="567" w:hanging="567"/>
        <w:jc w:val="both"/>
        <w:rPr>
          <w:sz w:val="20"/>
          <w:szCs w:val="20"/>
        </w:rPr>
      </w:pPr>
      <w:r w:rsidRPr="00A52A24">
        <w:rPr>
          <w:sz w:val="20"/>
          <w:szCs w:val="20"/>
        </w:rPr>
        <w:t xml:space="preserve">Barmby, T., &amp; </w:t>
      </w:r>
      <w:proofErr w:type="spellStart"/>
      <w:r w:rsidRPr="00A52A24">
        <w:rPr>
          <w:sz w:val="20"/>
          <w:szCs w:val="20"/>
        </w:rPr>
        <w:t>Cigno</w:t>
      </w:r>
      <w:proofErr w:type="spellEnd"/>
      <w:r w:rsidRPr="00A52A24">
        <w:rPr>
          <w:sz w:val="20"/>
          <w:szCs w:val="20"/>
        </w:rPr>
        <w:t xml:space="preserve">, A. (1990). A sequential probability model of fertility patterns. </w:t>
      </w:r>
      <w:r w:rsidRPr="00A52A24">
        <w:rPr>
          <w:i/>
          <w:iCs/>
          <w:sz w:val="20"/>
          <w:szCs w:val="20"/>
        </w:rPr>
        <w:t>Journal of Population Economics, 3</w:t>
      </w:r>
      <w:r w:rsidRPr="00A52A24">
        <w:rPr>
          <w:sz w:val="20"/>
          <w:szCs w:val="20"/>
        </w:rPr>
        <w:t>(1), 31–51.</w:t>
      </w:r>
    </w:p>
    <w:p w14:paraId="6112C530" w14:textId="77777777" w:rsidR="0014552E" w:rsidRPr="00A52A24" w:rsidRDefault="0014552E" w:rsidP="004151DD">
      <w:pPr>
        <w:spacing w:line="27" w:lineRule="atLeast"/>
        <w:ind w:left="567" w:hanging="567"/>
        <w:jc w:val="both"/>
        <w:rPr>
          <w:sz w:val="20"/>
          <w:szCs w:val="20"/>
        </w:rPr>
      </w:pPr>
      <w:proofErr w:type="spellStart"/>
      <w:r w:rsidRPr="00A52A24">
        <w:rPr>
          <w:sz w:val="20"/>
          <w:szCs w:val="20"/>
        </w:rPr>
        <w:t>Bongaarts</w:t>
      </w:r>
      <w:proofErr w:type="spellEnd"/>
      <w:r w:rsidRPr="00A52A24">
        <w:rPr>
          <w:sz w:val="20"/>
          <w:szCs w:val="20"/>
        </w:rPr>
        <w:t xml:space="preserve">, J. (2001). Fertility and reproductive preferences in post-transitional societies. </w:t>
      </w:r>
      <w:r w:rsidRPr="00A52A24">
        <w:rPr>
          <w:i/>
          <w:iCs/>
          <w:sz w:val="20"/>
          <w:szCs w:val="20"/>
        </w:rPr>
        <w:t>Population and Development Review, 27</w:t>
      </w:r>
      <w:r w:rsidRPr="00A52A24">
        <w:rPr>
          <w:sz w:val="20"/>
          <w:szCs w:val="20"/>
        </w:rPr>
        <w:t xml:space="preserve">(Supplement), 260–281. </w:t>
      </w:r>
      <w:hyperlink r:id="rId10" w:tgtFrame="_new" w:history="1">
        <w:r w:rsidRPr="00A52A24">
          <w:rPr>
            <w:rStyle w:val="Hyperlink"/>
            <w:sz w:val="20"/>
            <w:szCs w:val="20"/>
          </w:rPr>
          <w:t>https://doi.org/10.1111/j.1728-4457.2001.00260.x</w:t>
        </w:r>
      </w:hyperlink>
    </w:p>
    <w:p w14:paraId="28239D07" w14:textId="77777777" w:rsidR="0014552E" w:rsidRPr="00A52A24" w:rsidRDefault="0014552E" w:rsidP="004151DD">
      <w:pPr>
        <w:spacing w:line="27" w:lineRule="atLeast"/>
        <w:ind w:left="567" w:hanging="567"/>
        <w:jc w:val="both"/>
        <w:rPr>
          <w:sz w:val="20"/>
          <w:szCs w:val="20"/>
        </w:rPr>
      </w:pPr>
      <w:r w:rsidRPr="00A52A24">
        <w:rPr>
          <w:sz w:val="20"/>
          <w:szCs w:val="20"/>
        </w:rPr>
        <w:t xml:space="preserve">Channon, M. D., &amp; Harper, S. (2020). Educational differences in fertility preferences and behaviors in low- and middle-income countries. </w:t>
      </w:r>
      <w:r w:rsidRPr="00A52A24">
        <w:rPr>
          <w:i/>
          <w:iCs/>
          <w:sz w:val="20"/>
          <w:szCs w:val="20"/>
        </w:rPr>
        <w:t>Demographic Research, 43</w:t>
      </w:r>
      <w:r w:rsidRPr="00A52A24">
        <w:rPr>
          <w:sz w:val="20"/>
          <w:szCs w:val="20"/>
        </w:rPr>
        <w:t xml:space="preserve">, 1177–1210. </w:t>
      </w:r>
      <w:hyperlink r:id="rId11" w:tgtFrame="_new" w:history="1">
        <w:r w:rsidRPr="00A52A24">
          <w:rPr>
            <w:rStyle w:val="Hyperlink"/>
            <w:sz w:val="20"/>
            <w:szCs w:val="20"/>
          </w:rPr>
          <w:t>https://doi.org/10.4054/DemRes.2020.43.39</w:t>
        </w:r>
      </w:hyperlink>
    </w:p>
    <w:p w14:paraId="794BE02B" w14:textId="77777777" w:rsidR="0014552E" w:rsidRPr="00A52A24" w:rsidRDefault="0014552E" w:rsidP="004151DD">
      <w:pPr>
        <w:spacing w:line="27" w:lineRule="atLeast"/>
        <w:ind w:left="567" w:hanging="567"/>
        <w:jc w:val="both"/>
        <w:rPr>
          <w:sz w:val="20"/>
          <w:szCs w:val="20"/>
        </w:rPr>
      </w:pPr>
      <w:r w:rsidRPr="00A52A24">
        <w:rPr>
          <w:sz w:val="20"/>
          <w:szCs w:val="20"/>
        </w:rPr>
        <w:t xml:space="preserve">Cleland, J., Conde-Agudelo, A., Peterson, H., Ross, J., &amp; Tsui, A. (2013). Contraception and health. </w:t>
      </w:r>
      <w:r w:rsidRPr="00A52A24">
        <w:rPr>
          <w:i/>
          <w:iCs/>
          <w:sz w:val="20"/>
          <w:szCs w:val="20"/>
        </w:rPr>
        <w:t>The Lancet, 380</w:t>
      </w:r>
      <w:r w:rsidRPr="00A52A24">
        <w:rPr>
          <w:sz w:val="20"/>
          <w:szCs w:val="20"/>
        </w:rPr>
        <w:t xml:space="preserve">(9837), 149–156. </w:t>
      </w:r>
      <w:hyperlink r:id="rId12" w:tgtFrame="_new" w:history="1">
        <w:r w:rsidRPr="00A52A24">
          <w:rPr>
            <w:rStyle w:val="Hyperlink"/>
            <w:sz w:val="20"/>
            <w:szCs w:val="20"/>
          </w:rPr>
          <w:t>https://doi.org/10.1016/S0140-6736(12)60609-6</w:t>
        </w:r>
      </w:hyperlink>
    </w:p>
    <w:p w14:paraId="6EE3CE86" w14:textId="77777777" w:rsidR="0014552E" w:rsidRPr="00A52A24" w:rsidRDefault="0014552E" w:rsidP="004151DD">
      <w:pPr>
        <w:spacing w:line="27" w:lineRule="atLeast"/>
        <w:ind w:left="567" w:hanging="567"/>
        <w:jc w:val="both"/>
        <w:rPr>
          <w:sz w:val="20"/>
          <w:szCs w:val="20"/>
        </w:rPr>
      </w:pPr>
      <w:proofErr w:type="spellStart"/>
      <w:r w:rsidRPr="00A52A24">
        <w:rPr>
          <w:sz w:val="20"/>
          <w:szCs w:val="20"/>
        </w:rPr>
        <w:t>Famoye</w:t>
      </w:r>
      <w:proofErr w:type="spellEnd"/>
      <w:r w:rsidRPr="00A52A24">
        <w:rPr>
          <w:sz w:val="20"/>
          <w:szCs w:val="20"/>
        </w:rPr>
        <w:t xml:space="preserve">, F. (1993). Restricted generalized Poisson regression model. </w:t>
      </w:r>
      <w:r w:rsidRPr="00A52A24">
        <w:rPr>
          <w:i/>
          <w:iCs/>
          <w:sz w:val="20"/>
          <w:szCs w:val="20"/>
        </w:rPr>
        <w:t>Communications in Statistics - Theory and Methods, 22</w:t>
      </w:r>
      <w:r w:rsidRPr="00A52A24">
        <w:rPr>
          <w:sz w:val="20"/>
          <w:szCs w:val="20"/>
        </w:rPr>
        <w:t>(5), 1335–1354.</w:t>
      </w:r>
    </w:p>
    <w:p w14:paraId="3476E317" w14:textId="77777777" w:rsidR="0014552E" w:rsidRPr="00A52A24" w:rsidRDefault="0014552E" w:rsidP="004151DD">
      <w:pPr>
        <w:spacing w:line="27" w:lineRule="atLeast"/>
        <w:ind w:left="567" w:hanging="567"/>
        <w:jc w:val="both"/>
        <w:rPr>
          <w:sz w:val="20"/>
          <w:szCs w:val="20"/>
        </w:rPr>
      </w:pPr>
      <w:r w:rsidRPr="00A52A24">
        <w:rPr>
          <w:sz w:val="20"/>
          <w:szCs w:val="20"/>
        </w:rPr>
        <w:t xml:space="preserve">Feyisetan, B. J., &amp; Bankole, A. (2002). Fertility transition in Nigeria: Trends and prospect. </w:t>
      </w:r>
      <w:r w:rsidRPr="00A52A24">
        <w:rPr>
          <w:i/>
          <w:iCs/>
          <w:sz w:val="20"/>
          <w:szCs w:val="20"/>
        </w:rPr>
        <w:t>Population Bulletin of the United Nations, Special Issue No. 46/47</w:t>
      </w:r>
      <w:r w:rsidRPr="00A52A24">
        <w:rPr>
          <w:sz w:val="20"/>
          <w:szCs w:val="20"/>
        </w:rPr>
        <w:t>.</w:t>
      </w:r>
    </w:p>
    <w:p w14:paraId="4FF2BF4C" w14:textId="77777777" w:rsidR="0014552E" w:rsidRPr="00A52A24" w:rsidRDefault="0014552E" w:rsidP="004151DD">
      <w:pPr>
        <w:spacing w:line="27" w:lineRule="atLeast"/>
        <w:ind w:left="567" w:hanging="567"/>
        <w:jc w:val="both"/>
        <w:rPr>
          <w:sz w:val="20"/>
          <w:szCs w:val="20"/>
        </w:rPr>
      </w:pPr>
      <w:proofErr w:type="spellStart"/>
      <w:r w:rsidRPr="00A52A24">
        <w:rPr>
          <w:sz w:val="20"/>
          <w:szCs w:val="20"/>
        </w:rPr>
        <w:t>Heliyon</w:t>
      </w:r>
      <w:proofErr w:type="spellEnd"/>
      <w:r w:rsidRPr="00A52A24">
        <w:rPr>
          <w:sz w:val="20"/>
          <w:szCs w:val="20"/>
        </w:rPr>
        <w:t xml:space="preserve">. (2023). Fertility differentials and modeling approaches in Sub-Saharan Africa and Ethiopia. </w:t>
      </w:r>
      <w:proofErr w:type="spellStart"/>
      <w:r w:rsidRPr="00A52A24">
        <w:rPr>
          <w:i/>
          <w:iCs/>
          <w:sz w:val="20"/>
          <w:szCs w:val="20"/>
        </w:rPr>
        <w:t>Heliyon</w:t>
      </w:r>
      <w:proofErr w:type="spellEnd"/>
      <w:r w:rsidRPr="00A52A24">
        <w:rPr>
          <w:i/>
          <w:iCs/>
          <w:sz w:val="20"/>
          <w:szCs w:val="20"/>
        </w:rPr>
        <w:t>, 9</w:t>
      </w:r>
      <w:r w:rsidRPr="00A52A24">
        <w:rPr>
          <w:sz w:val="20"/>
          <w:szCs w:val="20"/>
        </w:rPr>
        <w:t>, e13948.</w:t>
      </w:r>
    </w:p>
    <w:p w14:paraId="2EA1AD90" w14:textId="77777777" w:rsidR="0014552E" w:rsidRPr="00A52A24" w:rsidRDefault="0014552E" w:rsidP="004151DD">
      <w:pPr>
        <w:spacing w:line="27" w:lineRule="atLeast"/>
        <w:ind w:left="567" w:hanging="567"/>
        <w:jc w:val="both"/>
        <w:rPr>
          <w:sz w:val="20"/>
          <w:szCs w:val="20"/>
        </w:rPr>
      </w:pPr>
      <w:proofErr w:type="spellStart"/>
      <w:r w:rsidRPr="00A52A24">
        <w:rPr>
          <w:sz w:val="20"/>
          <w:szCs w:val="20"/>
        </w:rPr>
        <w:t>Ibeji</w:t>
      </w:r>
      <w:proofErr w:type="spellEnd"/>
      <w:r w:rsidRPr="00A52A24">
        <w:rPr>
          <w:sz w:val="20"/>
          <w:szCs w:val="20"/>
        </w:rPr>
        <w:t xml:space="preserve">, J. U., </w:t>
      </w:r>
      <w:proofErr w:type="spellStart"/>
      <w:r w:rsidRPr="00A52A24">
        <w:rPr>
          <w:sz w:val="20"/>
          <w:szCs w:val="20"/>
        </w:rPr>
        <w:t>Zewotir</w:t>
      </w:r>
      <w:proofErr w:type="spellEnd"/>
      <w:r w:rsidRPr="00A52A24">
        <w:rPr>
          <w:sz w:val="20"/>
          <w:szCs w:val="20"/>
        </w:rPr>
        <w:t xml:space="preserve">, T., North, D., &amp; Amusa, L. (2020). Modelling fertility levels in Nigeria using generalized Poisson regression-based approach. </w:t>
      </w:r>
      <w:r w:rsidRPr="00A52A24">
        <w:rPr>
          <w:i/>
          <w:iCs/>
          <w:sz w:val="20"/>
          <w:szCs w:val="20"/>
        </w:rPr>
        <w:t>Scientific African, 9</w:t>
      </w:r>
      <w:r w:rsidRPr="00A52A24">
        <w:rPr>
          <w:sz w:val="20"/>
          <w:szCs w:val="20"/>
        </w:rPr>
        <w:t>, e00494.</w:t>
      </w:r>
    </w:p>
    <w:p w14:paraId="0B8C36D2" w14:textId="77777777" w:rsidR="0014552E" w:rsidRPr="00A52A24" w:rsidRDefault="0014552E" w:rsidP="004151DD">
      <w:pPr>
        <w:spacing w:line="27" w:lineRule="atLeast"/>
        <w:ind w:left="567" w:hanging="567"/>
        <w:jc w:val="both"/>
        <w:rPr>
          <w:sz w:val="20"/>
          <w:szCs w:val="20"/>
        </w:rPr>
      </w:pPr>
      <w:r w:rsidRPr="00A52A24">
        <w:rPr>
          <w:sz w:val="20"/>
          <w:szCs w:val="20"/>
        </w:rPr>
        <w:t xml:space="preserve">Kebede, E., Jara, D., &amp; Dessie, Y. (2019). Determinants of fertility in Ethiopia: Evidence from EDHS 2016 data. </w:t>
      </w:r>
      <w:r w:rsidRPr="00A52A24">
        <w:rPr>
          <w:i/>
          <w:iCs/>
          <w:sz w:val="20"/>
          <w:szCs w:val="20"/>
        </w:rPr>
        <w:t>BMC Women’s Health, 19</w:t>
      </w:r>
      <w:r w:rsidRPr="00A52A24">
        <w:rPr>
          <w:sz w:val="20"/>
          <w:szCs w:val="20"/>
        </w:rPr>
        <w:t>(1), 122.</w:t>
      </w:r>
    </w:p>
    <w:p w14:paraId="1D1FD109" w14:textId="77777777" w:rsidR="0014552E" w:rsidRPr="00A52A24" w:rsidRDefault="0014552E" w:rsidP="004151DD">
      <w:pPr>
        <w:spacing w:line="27" w:lineRule="atLeast"/>
        <w:ind w:left="567" w:hanging="567"/>
        <w:jc w:val="both"/>
        <w:rPr>
          <w:sz w:val="20"/>
          <w:szCs w:val="20"/>
        </w:rPr>
      </w:pPr>
      <w:r w:rsidRPr="00A52A24">
        <w:rPr>
          <w:sz w:val="20"/>
          <w:szCs w:val="20"/>
        </w:rPr>
        <w:t xml:space="preserve">Khan, M. M. H., Harris, M. L., &amp; Loxton, D. (2021). The impact of child marriage on reproductive health outcomes among women in Bangladesh. </w:t>
      </w:r>
      <w:r w:rsidRPr="00A52A24">
        <w:rPr>
          <w:i/>
          <w:iCs/>
          <w:sz w:val="20"/>
          <w:szCs w:val="20"/>
        </w:rPr>
        <w:t>Journal of Biosocial Science, 53</w:t>
      </w:r>
      <w:r w:rsidRPr="00A52A24">
        <w:rPr>
          <w:sz w:val="20"/>
          <w:szCs w:val="20"/>
        </w:rPr>
        <w:t>(1), 99–112.</w:t>
      </w:r>
    </w:p>
    <w:p w14:paraId="68A30954" w14:textId="77777777" w:rsidR="0014552E" w:rsidRPr="00A52A24" w:rsidRDefault="0014552E" w:rsidP="004151DD">
      <w:pPr>
        <w:spacing w:line="27" w:lineRule="atLeast"/>
        <w:ind w:left="567" w:hanging="567"/>
        <w:jc w:val="both"/>
        <w:rPr>
          <w:sz w:val="20"/>
          <w:szCs w:val="20"/>
        </w:rPr>
      </w:pPr>
      <w:r w:rsidRPr="00A52A24">
        <w:rPr>
          <w:sz w:val="20"/>
          <w:szCs w:val="20"/>
        </w:rPr>
        <w:t xml:space="preserve">Kiser, H., &amp; Hossain, M. A. (2018). Estimation of number of ever born children using zero truncated count model: Evidence from Bangladesh Demographic and Health Survey. </w:t>
      </w:r>
      <w:r w:rsidRPr="00A52A24">
        <w:rPr>
          <w:i/>
          <w:iCs/>
          <w:sz w:val="20"/>
          <w:szCs w:val="20"/>
        </w:rPr>
        <w:t>Health Information Science and Systems, 7</w:t>
      </w:r>
      <w:r w:rsidRPr="00A52A24">
        <w:rPr>
          <w:sz w:val="20"/>
          <w:szCs w:val="20"/>
        </w:rPr>
        <w:t>(1), 3.</w:t>
      </w:r>
    </w:p>
    <w:p w14:paraId="51A9CB28" w14:textId="77777777" w:rsidR="0014552E" w:rsidRPr="00A52A24" w:rsidRDefault="0014552E" w:rsidP="004151DD">
      <w:pPr>
        <w:spacing w:line="27" w:lineRule="atLeast"/>
        <w:ind w:left="567" w:hanging="567"/>
        <w:jc w:val="both"/>
        <w:rPr>
          <w:sz w:val="20"/>
          <w:szCs w:val="20"/>
        </w:rPr>
      </w:pPr>
      <w:r w:rsidRPr="00A52A24">
        <w:rPr>
          <w:sz w:val="20"/>
          <w:szCs w:val="20"/>
        </w:rPr>
        <w:t xml:space="preserve">Levy, R. (2012). Probabilistic models in the study of language. </w:t>
      </w:r>
      <w:r w:rsidRPr="00A52A24">
        <w:rPr>
          <w:i/>
          <w:iCs/>
          <w:sz w:val="20"/>
          <w:szCs w:val="20"/>
        </w:rPr>
        <w:t>Online Draft, November</w:t>
      </w:r>
      <w:r w:rsidRPr="00A52A24">
        <w:rPr>
          <w:sz w:val="20"/>
          <w:szCs w:val="20"/>
        </w:rPr>
        <w:t>.</w:t>
      </w:r>
    </w:p>
    <w:p w14:paraId="79E3B018" w14:textId="77777777" w:rsidR="0014552E" w:rsidRPr="00A52A24" w:rsidRDefault="0014552E" w:rsidP="004151DD">
      <w:pPr>
        <w:spacing w:line="27" w:lineRule="atLeast"/>
        <w:ind w:left="567" w:hanging="567"/>
        <w:jc w:val="both"/>
        <w:rPr>
          <w:sz w:val="20"/>
          <w:szCs w:val="20"/>
        </w:rPr>
      </w:pPr>
      <w:r w:rsidRPr="00A52A24">
        <w:rPr>
          <w:sz w:val="20"/>
          <w:szCs w:val="20"/>
        </w:rPr>
        <w:t xml:space="preserve">NIPORT &amp; ICF. (2020). </w:t>
      </w:r>
      <w:r w:rsidRPr="00A52A24">
        <w:rPr>
          <w:i/>
          <w:iCs/>
          <w:sz w:val="20"/>
          <w:szCs w:val="20"/>
        </w:rPr>
        <w:t>Bangladesh demographic and health survey 2017–18</w:t>
      </w:r>
      <w:r w:rsidRPr="00A52A24">
        <w:rPr>
          <w:sz w:val="20"/>
          <w:szCs w:val="20"/>
        </w:rPr>
        <w:t>. Dhaka, Bangladesh, and Rockville, Maryland, USA: NIPORT, Mitra and Associates, and ICF International.</w:t>
      </w:r>
    </w:p>
    <w:p w14:paraId="2EE77E82" w14:textId="77777777" w:rsidR="0014552E" w:rsidRPr="00A52A24" w:rsidRDefault="0014552E" w:rsidP="004151DD">
      <w:pPr>
        <w:spacing w:line="27" w:lineRule="atLeast"/>
        <w:ind w:left="567" w:hanging="567"/>
        <w:jc w:val="both"/>
        <w:rPr>
          <w:sz w:val="20"/>
          <w:szCs w:val="20"/>
        </w:rPr>
      </w:pPr>
      <w:r w:rsidRPr="00A52A24">
        <w:rPr>
          <w:sz w:val="20"/>
          <w:szCs w:val="20"/>
        </w:rPr>
        <w:lastRenderedPageBreak/>
        <w:t xml:space="preserve">Rahman, M. A., Chowdhury, R. I., &amp; Islam, M. A. (2022). Religious affiliation and contraceptive use in Bangladesh: Insights from recent demographic surveys. </w:t>
      </w:r>
      <w:r w:rsidRPr="00A52A24">
        <w:rPr>
          <w:i/>
          <w:iCs/>
          <w:sz w:val="20"/>
          <w:szCs w:val="20"/>
        </w:rPr>
        <w:t>BMC Public Health, 22</w:t>
      </w:r>
      <w:r w:rsidRPr="00A52A24">
        <w:rPr>
          <w:sz w:val="20"/>
          <w:szCs w:val="20"/>
        </w:rPr>
        <w:t xml:space="preserve">, 284. </w:t>
      </w:r>
      <w:hyperlink r:id="rId13" w:tgtFrame="_new" w:history="1">
        <w:r w:rsidRPr="00A52A24">
          <w:rPr>
            <w:rStyle w:val="Hyperlink"/>
            <w:sz w:val="20"/>
            <w:szCs w:val="20"/>
          </w:rPr>
          <w:t>https://doi.org/10.1186/s12889-022-12632-w</w:t>
        </w:r>
      </w:hyperlink>
    </w:p>
    <w:p w14:paraId="01ED0963" w14:textId="77777777" w:rsidR="0014552E" w:rsidRPr="00A52A24" w:rsidRDefault="0014552E" w:rsidP="004151DD">
      <w:pPr>
        <w:spacing w:line="27" w:lineRule="atLeast"/>
        <w:ind w:left="567" w:hanging="567"/>
        <w:jc w:val="both"/>
        <w:rPr>
          <w:sz w:val="20"/>
          <w:szCs w:val="20"/>
        </w:rPr>
      </w:pPr>
      <w:r w:rsidRPr="00A52A24">
        <w:rPr>
          <w:sz w:val="20"/>
          <w:szCs w:val="20"/>
        </w:rPr>
        <w:t>Ratna, M. B., Khan, H. A., &amp; Hossain, M. A. (2011). Modeling the number of children ever born in a household in Bangladesh using generalized Poisson regression.</w:t>
      </w:r>
    </w:p>
    <w:p w14:paraId="7D8DCB5D" w14:textId="77777777" w:rsidR="0014552E" w:rsidRPr="00A52A24" w:rsidRDefault="0014552E" w:rsidP="004151DD">
      <w:pPr>
        <w:spacing w:line="27" w:lineRule="atLeast"/>
        <w:ind w:left="567" w:hanging="567"/>
        <w:jc w:val="both"/>
        <w:rPr>
          <w:sz w:val="20"/>
          <w:szCs w:val="20"/>
        </w:rPr>
      </w:pPr>
      <w:r w:rsidRPr="00A52A24">
        <w:rPr>
          <w:sz w:val="20"/>
          <w:szCs w:val="20"/>
        </w:rPr>
        <w:t xml:space="preserve">Sobel, M. E., &amp; </w:t>
      </w:r>
      <w:proofErr w:type="spellStart"/>
      <w:r w:rsidRPr="00A52A24">
        <w:rPr>
          <w:sz w:val="20"/>
          <w:szCs w:val="20"/>
        </w:rPr>
        <w:t>Arminger</w:t>
      </w:r>
      <w:proofErr w:type="spellEnd"/>
      <w:r w:rsidRPr="00A52A24">
        <w:rPr>
          <w:sz w:val="20"/>
          <w:szCs w:val="20"/>
        </w:rPr>
        <w:t xml:space="preserve">, G. (1992). Modeling household fertility decisions: A nonlinear simultaneous probit model. </w:t>
      </w:r>
      <w:r w:rsidRPr="00A52A24">
        <w:rPr>
          <w:i/>
          <w:iCs/>
          <w:sz w:val="20"/>
          <w:szCs w:val="20"/>
        </w:rPr>
        <w:t>Journal of the Association, 87</w:t>
      </w:r>
      <w:r w:rsidRPr="00A52A24">
        <w:rPr>
          <w:sz w:val="20"/>
          <w:szCs w:val="20"/>
        </w:rPr>
        <w:t>(417), 38–47.</w:t>
      </w:r>
    </w:p>
    <w:p w14:paraId="43BFBC07" w14:textId="77777777" w:rsidR="0014552E" w:rsidRPr="00A52A24" w:rsidRDefault="0014552E" w:rsidP="004151DD">
      <w:pPr>
        <w:tabs>
          <w:tab w:val="left" w:pos="3686"/>
        </w:tabs>
        <w:spacing w:line="27" w:lineRule="atLeast"/>
        <w:ind w:left="567" w:hanging="567"/>
        <w:jc w:val="both"/>
        <w:rPr>
          <w:sz w:val="20"/>
          <w:szCs w:val="20"/>
        </w:rPr>
      </w:pPr>
      <w:r w:rsidRPr="00A52A24">
        <w:rPr>
          <w:sz w:val="20"/>
          <w:szCs w:val="20"/>
        </w:rPr>
        <w:t xml:space="preserve">Tessema, G. A., Lawrence, E., &amp; Melaku, Y. A. (2022). Individual and community-level factors associated with fertility in low- and middle-income countries: A multilevel analysis. </w:t>
      </w:r>
      <w:r w:rsidRPr="00A52A24">
        <w:rPr>
          <w:i/>
          <w:iCs/>
          <w:sz w:val="20"/>
          <w:szCs w:val="20"/>
        </w:rPr>
        <w:t>International Journal of Environmental Research and Public Health, 19</w:t>
      </w:r>
      <w:r w:rsidRPr="00A52A24">
        <w:rPr>
          <w:sz w:val="20"/>
          <w:szCs w:val="20"/>
        </w:rPr>
        <w:t>(3), 1427.</w:t>
      </w:r>
    </w:p>
    <w:p w14:paraId="2D9D3215" w14:textId="77777777" w:rsidR="0014552E" w:rsidRPr="00A52A24" w:rsidRDefault="0014552E" w:rsidP="004151DD">
      <w:pPr>
        <w:spacing w:line="27" w:lineRule="atLeast"/>
        <w:ind w:left="567" w:hanging="567"/>
        <w:jc w:val="both"/>
        <w:rPr>
          <w:sz w:val="20"/>
          <w:szCs w:val="20"/>
        </w:rPr>
      </w:pPr>
      <w:r w:rsidRPr="00A52A24">
        <w:rPr>
          <w:sz w:val="20"/>
          <w:szCs w:val="20"/>
        </w:rPr>
        <w:t xml:space="preserve">Tessema, G. A., Zeleke, B. M., &amp; Ayele, T. A. (2021). Spatial variations and factors associated with fertility rate among reproductive-age women in Ethiopia: A multilevel and spatial analysis. </w:t>
      </w:r>
      <w:r w:rsidRPr="00A52A24">
        <w:rPr>
          <w:i/>
          <w:iCs/>
          <w:sz w:val="20"/>
          <w:szCs w:val="20"/>
        </w:rPr>
        <w:t>BMJ Open, 11</w:t>
      </w:r>
      <w:r w:rsidRPr="00A52A24">
        <w:rPr>
          <w:sz w:val="20"/>
          <w:szCs w:val="20"/>
        </w:rPr>
        <w:t>(3), e042416.</w:t>
      </w:r>
    </w:p>
    <w:p w14:paraId="02972BCB" w14:textId="77777777" w:rsidR="0014552E" w:rsidRPr="00A52A24" w:rsidRDefault="0014552E" w:rsidP="004151DD">
      <w:pPr>
        <w:spacing w:line="27" w:lineRule="atLeast"/>
        <w:ind w:left="567" w:hanging="567"/>
        <w:jc w:val="both"/>
        <w:rPr>
          <w:sz w:val="20"/>
          <w:szCs w:val="20"/>
        </w:rPr>
      </w:pPr>
      <w:r w:rsidRPr="00A52A24">
        <w:rPr>
          <w:sz w:val="20"/>
          <w:szCs w:val="20"/>
        </w:rPr>
        <w:t xml:space="preserve">Uddin, M. T., Ahsan, M., &amp; Islam, R. (2022). Socioeconomic determinants of fertility in Bangladesh: Evidence from BDHS 2017–18. </w:t>
      </w:r>
      <w:r w:rsidRPr="00A52A24">
        <w:rPr>
          <w:i/>
          <w:iCs/>
          <w:sz w:val="20"/>
          <w:szCs w:val="20"/>
        </w:rPr>
        <w:t>Journal of Population and Social Studies, 30</w:t>
      </w:r>
      <w:r w:rsidRPr="00A52A24">
        <w:rPr>
          <w:sz w:val="20"/>
          <w:szCs w:val="20"/>
        </w:rPr>
        <w:t xml:space="preserve">, 370–385. </w:t>
      </w:r>
      <w:hyperlink r:id="rId14" w:tgtFrame="_new" w:history="1">
        <w:r w:rsidRPr="00A52A24">
          <w:rPr>
            <w:rStyle w:val="Hyperlink"/>
            <w:sz w:val="20"/>
            <w:szCs w:val="20"/>
          </w:rPr>
          <w:t>https://doi.org/10.25133/JPSSv30n3.024</w:t>
        </w:r>
      </w:hyperlink>
    </w:p>
    <w:p w14:paraId="7C77CE41" w14:textId="77777777" w:rsidR="0014552E" w:rsidRPr="00A52A24" w:rsidRDefault="0014552E" w:rsidP="004151DD">
      <w:pPr>
        <w:spacing w:line="27" w:lineRule="atLeast"/>
        <w:ind w:left="567" w:hanging="567"/>
        <w:jc w:val="both"/>
        <w:rPr>
          <w:sz w:val="20"/>
          <w:szCs w:val="20"/>
        </w:rPr>
      </w:pPr>
      <w:r w:rsidRPr="00A52A24">
        <w:rPr>
          <w:sz w:val="20"/>
          <w:szCs w:val="20"/>
        </w:rPr>
        <w:t xml:space="preserve">Upadhyay, H. P., &amp; Bhandari, K. R. (2017). Factors associated with children ever born: A case study of </w:t>
      </w:r>
      <w:proofErr w:type="spellStart"/>
      <w:r w:rsidRPr="00A52A24">
        <w:rPr>
          <w:sz w:val="20"/>
          <w:szCs w:val="20"/>
        </w:rPr>
        <w:t>Somadi</w:t>
      </w:r>
      <w:proofErr w:type="spellEnd"/>
      <w:r w:rsidRPr="00A52A24">
        <w:rPr>
          <w:sz w:val="20"/>
          <w:szCs w:val="20"/>
        </w:rPr>
        <w:t xml:space="preserve"> Village Development Committee of </w:t>
      </w:r>
      <w:proofErr w:type="spellStart"/>
      <w:r w:rsidRPr="00A52A24">
        <w:rPr>
          <w:sz w:val="20"/>
          <w:szCs w:val="20"/>
        </w:rPr>
        <w:t>Palpa</w:t>
      </w:r>
      <w:proofErr w:type="spellEnd"/>
      <w:r w:rsidRPr="00A52A24">
        <w:rPr>
          <w:sz w:val="20"/>
          <w:szCs w:val="20"/>
        </w:rPr>
        <w:t xml:space="preserve"> District, Nepal. </w:t>
      </w:r>
      <w:r w:rsidRPr="00A52A24">
        <w:rPr>
          <w:i/>
          <w:iCs/>
          <w:sz w:val="20"/>
          <w:szCs w:val="20"/>
        </w:rPr>
        <w:t>Advanced Journal of Social Science, 1</w:t>
      </w:r>
      <w:r w:rsidRPr="00A52A24">
        <w:rPr>
          <w:sz w:val="20"/>
          <w:szCs w:val="20"/>
        </w:rPr>
        <w:t>(1), 15–29.</w:t>
      </w:r>
    </w:p>
    <w:p w14:paraId="1B3086B5" w14:textId="77777777" w:rsidR="0014552E" w:rsidRPr="00A52A24" w:rsidRDefault="0014552E" w:rsidP="0014552E">
      <w:pPr>
        <w:jc w:val="both"/>
        <w:rPr>
          <w:sz w:val="20"/>
          <w:szCs w:val="20"/>
        </w:rPr>
      </w:pPr>
    </w:p>
    <w:p w14:paraId="2FAC984F" w14:textId="77777777" w:rsidR="0014552E" w:rsidRPr="00A52A24" w:rsidRDefault="0014552E" w:rsidP="0014552E">
      <w:pPr>
        <w:jc w:val="both"/>
        <w:rPr>
          <w:sz w:val="20"/>
          <w:szCs w:val="20"/>
        </w:rPr>
      </w:pPr>
    </w:p>
    <w:p w14:paraId="0B5BDE47" w14:textId="77777777" w:rsidR="0014552E" w:rsidRPr="00A52A24" w:rsidRDefault="0014552E" w:rsidP="0014552E">
      <w:pPr>
        <w:jc w:val="both"/>
        <w:rPr>
          <w:sz w:val="20"/>
          <w:szCs w:val="20"/>
        </w:rPr>
      </w:pPr>
    </w:p>
    <w:p w14:paraId="5E6AF985" w14:textId="77777777" w:rsidR="0014552E" w:rsidRPr="00A52A24" w:rsidRDefault="0014552E" w:rsidP="0014552E">
      <w:pPr>
        <w:jc w:val="both"/>
        <w:rPr>
          <w:sz w:val="20"/>
          <w:szCs w:val="20"/>
        </w:rPr>
      </w:pPr>
    </w:p>
    <w:p w14:paraId="48F35834" w14:textId="77777777" w:rsidR="0014552E" w:rsidRPr="00A52A24" w:rsidRDefault="0014552E" w:rsidP="0014552E">
      <w:pPr>
        <w:jc w:val="both"/>
        <w:rPr>
          <w:sz w:val="20"/>
          <w:szCs w:val="20"/>
        </w:rPr>
      </w:pPr>
    </w:p>
    <w:p w14:paraId="3A8BAA84" w14:textId="77777777" w:rsidR="0014552E" w:rsidRPr="00A52A24" w:rsidRDefault="0014552E" w:rsidP="0014552E">
      <w:pPr>
        <w:jc w:val="both"/>
        <w:rPr>
          <w:sz w:val="20"/>
          <w:szCs w:val="20"/>
        </w:rPr>
      </w:pPr>
    </w:p>
    <w:p w14:paraId="1B196BD0" w14:textId="77777777" w:rsidR="0014552E" w:rsidRPr="00A52A24" w:rsidRDefault="0014552E" w:rsidP="0014552E">
      <w:pPr>
        <w:jc w:val="both"/>
        <w:rPr>
          <w:sz w:val="20"/>
          <w:szCs w:val="20"/>
        </w:rPr>
      </w:pPr>
    </w:p>
    <w:p w14:paraId="3949C695" w14:textId="77777777" w:rsidR="0014552E" w:rsidRPr="00A52A24" w:rsidRDefault="0014552E" w:rsidP="0014552E">
      <w:pPr>
        <w:jc w:val="both"/>
        <w:rPr>
          <w:sz w:val="20"/>
          <w:szCs w:val="20"/>
        </w:rPr>
      </w:pPr>
    </w:p>
    <w:p w14:paraId="5E54088F" w14:textId="77777777" w:rsidR="0014552E" w:rsidRPr="00A52A24" w:rsidRDefault="0014552E" w:rsidP="0014552E">
      <w:pPr>
        <w:jc w:val="both"/>
        <w:rPr>
          <w:sz w:val="20"/>
          <w:szCs w:val="20"/>
        </w:rPr>
      </w:pPr>
    </w:p>
    <w:p w14:paraId="58D94C43" w14:textId="77777777" w:rsidR="0014552E" w:rsidRPr="00A52A24" w:rsidRDefault="0014552E" w:rsidP="0014552E">
      <w:pPr>
        <w:jc w:val="both"/>
        <w:rPr>
          <w:sz w:val="20"/>
          <w:szCs w:val="20"/>
        </w:rPr>
      </w:pPr>
    </w:p>
    <w:p w14:paraId="234F78EA" w14:textId="77777777" w:rsidR="0014552E" w:rsidRPr="00A52A24" w:rsidRDefault="0014552E" w:rsidP="0014552E">
      <w:pPr>
        <w:jc w:val="both"/>
        <w:rPr>
          <w:sz w:val="20"/>
          <w:szCs w:val="20"/>
        </w:rPr>
      </w:pPr>
    </w:p>
    <w:p w14:paraId="3ADE62EE" w14:textId="77777777" w:rsidR="0014552E" w:rsidRPr="00A52A24" w:rsidRDefault="0014552E" w:rsidP="0014552E">
      <w:pPr>
        <w:jc w:val="both"/>
        <w:rPr>
          <w:b/>
          <w:bCs/>
          <w:sz w:val="20"/>
          <w:szCs w:val="20"/>
        </w:rPr>
      </w:pPr>
    </w:p>
    <w:p w14:paraId="40CA941A" w14:textId="3D020A82" w:rsidR="0014552E" w:rsidRDefault="0014552E" w:rsidP="003465CE">
      <w:pPr>
        <w:rPr>
          <w:b/>
          <w:bCs/>
          <w:color w:val="000000" w:themeColor="text1"/>
          <w:sz w:val="22"/>
          <w:szCs w:val="20"/>
        </w:rPr>
      </w:pPr>
      <w:r>
        <w:rPr>
          <w:b/>
          <w:bCs/>
          <w:color w:val="000000" w:themeColor="text1"/>
          <w:sz w:val="22"/>
          <w:szCs w:val="20"/>
        </w:rPr>
        <w:br w:type="page"/>
      </w:r>
    </w:p>
    <w:sectPr w:rsidR="0014552E" w:rsidSect="00A77DFE">
      <w:headerReference w:type="even" r:id="rId15"/>
      <w:headerReference w:type="default" r:id="rId16"/>
      <w:footerReference w:type="even" r:id="rId17"/>
      <w:footerReference w:type="default" r:id="rId18"/>
      <w:headerReference w:type="first" r:id="rId19"/>
      <w:footerReference w:type="first" r:id="rId20"/>
      <w:footnotePr>
        <w:numFmt w:val="chicago"/>
        <w:numRestart w:val="eachSect"/>
      </w:footnotePr>
      <w:endnotePr>
        <w:numRestart w:val="eachSect"/>
      </w:endnotePr>
      <w:pgSz w:w="10800" w:h="14400" w:code="9"/>
      <w:pgMar w:top="1151" w:right="1440" w:bottom="1151" w:left="162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E152" w14:textId="77777777" w:rsidR="00B506A7" w:rsidRDefault="00B506A7">
      <w:r>
        <w:separator/>
      </w:r>
    </w:p>
  </w:endnote>
  <w:endnote w:type="continuationSeparator" w:id="0">
    <w:p w14:paraId="2ABF60D1" w14:textId="77777777" w:rsidR="00B506A7" w:rsidRDefault="00B5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MR1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ikosh">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NikoshBAN">
    <w:panose1 w:val="00000000000000000000"/>
    <w:charset w:val="00"/>
    <w:family w:val="auto"/>
    <w:notTrueType/>
    <w:pitch w:val="variable"/>
    <w:sig w:usb0="00000003" w:usb1="00000000" w:usb2="00000000" w:usb3="00000000" w:csb0="00000001" w:csb1="00000000"/>
  </w:font>
  <w:font w:name="Charter B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066349"/>
      <w:docPartObj>
        <w:docPartGallery w:val="Page Numbers (Bottom of Page)"/>
        <w:docPartUnique/>
      </w:docPartObj>
    </w:sdtPr>
    <w:sdtEndPr>
      <w:rPr>
        <w:noProof/>
        <w:sz w:val="20"/>
        <w:szCs w:val="20"/>
      </w:rPr>
    </w:sdtEndPr>
    <w:sdtContent>
      <w:p w14:paraId="7875706D" w14:textId="77777777" w:rsidR="002C3FB9" w:rsidRPr="00E26768" w:rsidRDefault="00487356">
        <w:pPr>
          <w:pStyle w:val="Footer"/>
          <w:jc w:val="center"/>
          <w:rPr>
            <w:sz w:val="20"/>
            <w:szCs w:val="20"/>
          </w:rPr>
        </w:pPr>
        <w:r w:rsidRPr="00E26768">
          <w:rPr>
            <w:sz w:val="20"/>
            <w:szCs w:val="20"/>
          </w:rPr>
          <w:fldChar w:fldCharType="begin"/>
        </w:r>
        <w:r w:rsidR="002C3FB9" w:rsidRPr="00E26768">
          <w:rPr>
            <w:sz w:val="20"/>
            <w:szCs w:val="20"/>
          </w:rPr>
          <w:instrText xml:space="preserve"> PAGE   \* MERGEFORMAT </w:instrText>
        </w:r>
        <w:r w:rsidRPr="00E26768">
          <w:rPr>
            <w:sz w:val="20"/>
            <w:szCs w:val="20"/>
          </w:rPr>
          <w:fldChar w:fldCharType="separate"/>
        </w:r>
        <w:r w:rsidR="006267E4">
          <w:rPr>
            <w:noProof/>
            <w:sz w:val="20"/>
            <w:szCs w:val="20"/>
          </w:rPr>
          <w:t>16</w:t>
        </w:r>
        <w:r w:rsidRPr="00E26768">
          <w:rPr>
            <w:noProof/>
            <w:sz w:val="20"/>
            <w:szCs w:val="20"/>
          </w:rPr>
          <w:fldChar w:fldCharType="end"/>
        </w:r>
      </w:p>
    </w:sdtContent>
  </w:sdt>
  <w:p w14:paraId="4C670786" w14:textId="77777777" w:rsidR="002C3FB9" w:rsidRPr="00E26768" w:rsidRDefault="002C3FB9" w:rsidP="00E26768">
    <w:pPr>
      <w:pStyle w:val="Footer"/>
      <w:jc w:val="center"/>
      <w:rPr>
        <w:sz w:val="20"/>
        <w:szCs w:val="20"/>
      </w:rPr>
    </w:pPr>
  </w:p>
  <w:p w14:paraId="27987852" w14:textId="77777777" w:rsidR="002C3FB9" w:rsidRDefault="002C3F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175752"/>
      <w:docPartObj>
        <w:docPartGallery w:val="Page Numbers (Bottom of Page)"/>
        <w:docPartUnique/>
      </w:docPartObj>
    </w:sdtPr>
    <w:sdtEndPr>
      <w:rPr>
        <w:noProof/>
        <w:sz w:val="20"/>
        <w:szCs w:val="20"/>
      </w:rPr>
    </w:sdtEndPr>
    <w:sdtContent>
      <w:p w14:paraId="5D17890C" w14:textId="77777777" w:rsidR="002C3FB9" w:rsidRPr="00E74F1E" w:rsidRDefault="00487356">
        <w:pPr>
          <w:pStyle w:val="Footer"/>
          <w:jc w:val="center"/>
          <w:rPr>
            <w:sz w:val="20"/>
            <w:szCs w:val="20"/>
          </w:rPr>
        </w:pPr>
        <w:r w:rsidRPr="00E74F1E">
          <w:rPr>
            <w:sz w:val="20"/>
            <w:szCs w:val="20"/>
          </w:rPr>
          <w:fldChar w:fldCharType="begin"/>
        </w:r>
        <w:r w:rsidR="002C3FB9" w:rsidRPr="00E74F1E">
          <w:rPr>
            <w:sz w:val="20"/>
            <w:szCs w:val="20"/>
          </w:rPr>
          <w:instrText xml:space="preserve"> PAGE   \* MERGEFORMAT </w:instrText>
        </w:r>
        <w:r w:rsidRPr="00E74F1E">
          <w:rPr>
            <w:sz w:val="20"/>
            <w:szCs w:val="20"/>
          </w:rPr>
          <w:fldChar w:fldCharType="separate"/>
        </w:r>
        <w:r w:rsidR="006267E4">
          <w:rPr>
            <w:noProof/>
            <w:sz w:val="20"/>
            <w:szCs w:val="20"/>
          </w:rPr>
          <w:t>15</w:t>
        </w:r>
        <w:r w:rsidRPr="00E74F1E">
          <w:rPr>
            <w:noProof/>
            <w:sz w:val="20"/>
            <w:szCs w:val="20"/>
          </w:rPr>
          <w:fldChar w:fldCharType="end"/>
        </w:r>
      </w:p>
    </w:sdtContent>
  </w:sdt>
  <w:p w14:paraId="6AF17FF4" w14:textId="77777777" w:rsidR="002C3FB9" w:rsidRDefault="002C3FB9" w:rsidP="00E74F1E">
    <w:pPr>
      <w:pStyle w:val="Footer"/>
      <w:jc w:val="center"/>
    </w:pPr>
  </w:p>
  <w:p w14:paraId="4DC69160" w14:textId="77777777" w:rsidR="002C3FB9" w:rsidRDefault="002C3F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6408" w14:textId="77777777" w:rsidR="002C3FB9" w:rsidRPr="00DF52ED" w:rsidRDefault="002C3FB9">
    <w:pPr>
      <w:pStyle w:val="Footer"/>
      <w:jc w:val="center"/>
      <w:rPr>
        <w:sz w:val="20"/>
        <w:szCs w:val="20"/>
      </w:rPr>
    </w:pPr>
  </w:p>
  <w:p w14:paraId="5DB04DF0" w14:textId="77777777" w:rsidR="002C3FB9" w:rsidRDefault="002C3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27DFF" w14:textId="77777777" w:rsidR="00B506A7" w:rsidRDefault="00B506A7">
      <w:r>
        <w:separator/>
      </w:r>
    </w:p>
  </w:footnote>
  <w:footnote w:type="continuationSeparator" w:id="0">
    <w:p w14:paraId="3B5B3BFB" w14:textId="77777777" w:rsidR="00B506A7" w:rsidRDefault="00B506A7">
      <w:r>
        <w:continuationSeparator/>
      </w:r>
    </w:p>
  </w:footnote>
  <w:footnote w:id="1">
    <w:p w14:paraId="0CE5A0B5" w14:textId="66B01F66" w:rsidR="00B862B9" w:rsidRPr="00B862B9" w:rsidRDefault="00B862B9">
      <w:pPr>
        <w:pStyle w:val="FootnoteText"/>
        <w:rPr>
          <w:sz w:val="18"/>
          <w:szCs w:val="18"/>
          <w:lang w:val="en-SG"/>
        </w:rPr>
      </w:pPr>
      <w:r w:rsidRPr="00B862B9">
        <w:rPr>
          <w:rStyle w:val="FootnoteReference"/>
          <w:sz w:val="18"/>
          <w:szCs w:val="18"/>
        </w:rPr>
        <w:footnoteRef/>
      </w:r>
      <w:r w:rsidRPr="00B862B9">
        <w:rPr>
          <w:sz w:val="18"/>
          <w:szCs w:val="18"/>
        </w:rPr>
        <w:t xml:space="preserve"> </w:t>
      </w:r>
      <w:r w:rsidRPr="00B862B9">
        <w:rPr>
          <w:sz w:val="18"/>
          <w:szCs w:val="18"/>
          <w:lang w:val="en-SG"/>
        </w:rPr>
        <w:t xml:space="preserve">Corresponding author: </w:t>
      </w:r>
      <w:r>
        <w:rPr>
          <w:sz w:val="18"/>
          <w:szCs w:val="18"/>
          <w:lang w:val="en-SG"/>
        </w:rPr>
        <w:t>nilufar@juniv.edu</w:t>
      </w:r>
    </w:p>
    <w:p w14:paraId="549E3712" w14:textId="512C6538" w:rsidR="00B862B9" w:rsidRPr="00B862B9" w:rsidRDefault="00B862B9">
      <w:pPr>
        <w:pStyle w:val="FootnoteText"/>
        <w:rPr>
          <w:lang w:val="en-SG"/>
        </w:rPr>
      </w:pPr>
      <w:r w:rsidRPr="00B862B9">
        <w:rPr>
          <w:sz w:val="18"/>
          <w:szCs w:val="18"/>
          <w:lang w:val="en-SG"/>
        </w:rPr>
        <w:t>© Department of Statistics and Data Science, Jahangirnagar University, Savar, Dhaka-1342, Bangladesh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E106" w14:textId="0E0C22E8" w:rsidR="002C3FB9" w:rsidRDefault="002C3FB9">
    <w:pPr>
      <w:pStyle w:val="Header"/>
      <w:framePr w:wrap="around" w:vAnchor="text" w:hAnchor="page" w:x="1585" w:y="1"/>
      <w:rPr>
        <w:rStyle w:val="PageNumber"/>
        <w:sz w:val="20"/>
      </w:rPr>
    </w:pPr>
    <w:r>
      <w:rPr>
        <w:rStyle w:val="PageNumber"/>
        <w:sz w:val="20"/>
      </w:rPr>
      <w:t xml:space="preserve">JUJSS                                                                                                  </w:t>
    </w:r>
    <w:r w:rsidR="00EE4D96">
      <w:rPr>
        <w:i/>
        <w:iCs/>
        <w:sz w:val="18"/>
      </w:rPr>
      <w:t xml:space="preserve">Yasmin, Alam, Yasmin </w:t>
    </w:r>
    <w:r>
      <w:rPr>
        <w:i/>
        <w:iCs/>
        <w:sz w:val="18"/>
      </w:rPr>
      <w:t xml:space="preserve">and </w:t>
    </w:r>
    <w:r w:rsidR="00EE4D96">
      <w:rPr>
        <w:i/>
        <w:iCs/>
        <w:sz w:val="18"/>
      </w:rPr>
      <w:t>Huq</w:t>
    </w:r>
  </w:p>
  <w:p w14:paraId="7E46584D" w14:textId="77777777" w:rsidR="002C3FB9" w:rsidRPr="00304929" w:rsidRDefault="002C3FB9" w:rsidP="00304929">
    <w:pPr>
      <w:pStyle w:val="Header"/>
      <w:jc w:val="right"/>
      <w:rPr>
        <w:i/>
        <w:iCs/>
        <w:sz w:val="18"/>
      </w:rPr>
    </w:pPr>
  </w:p>
  <w:p w14:paraId="6BB679DB" w14:textId="77777777" w:rsidR="002C3FB9" w:rsidRDefault="002C3FB9" w:rsidP="00651969">
    <w:pPr>
      <w:tabs>
        <w:tab w:val="left" w:pos="1172"/>
      </w:tabs>
    </w:pPr>
  </w:p>
  <w:p w14:paraId="526DB860" w14:textId="77777777" w:rsidR="002C3FB9" w:rsidRDefault="002C3F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07D7" w14:textId="4934BF01" w:rsidR="002C3FB9" w:rsidRDefault="004151DD" w:rsidP="00262B2F">
    <w:pPr>
      <w:pStyle w:val="Header"/>
      <w:jc w:val="center"/>
      <w:rPr>
        <w:i/>
        <w:sz w:val="18"/>
        <w:szCs w:val="18"/>
      </w:rPr>
    </w:pPr>
    <w:r w:rsidRPr="004151DD">
      <w:rPr>
        <w:i/>
        <w:sz w:val="18"/>
        <w:szCs w:val="18"/>
      </w:rPr>
      <w:t>Analyzing Regional and Urban-Rural</w:t>
    </w:r>
    <w:r w:rsidR="002C3FB9">
      <w:rPr>
        <w:i/>
        <w:sz w:val="18"/>
        <w:szCs w:val="18"/>
      </w:rPr>
      <w:t xml:space="preserve"> …</w:t>
    </w:r>
  </w:p>
  <w:p w14:paraId="215DB85F" w14:textId="77777777" w:rsidR="002C3FB9" w:rsidRPr="001A46E1" w:rsidRDefault="002C3FB9" w:rsidP="00262B2F">
    <w:pPr>
      <w:pStyle w:val="Header"/>
      <w:jc w:val="center"/>
      <w:rPr>
        <w:i/>
        <w:sz w:val="18"/>
        <w:szCs w:val="18"/>
      </w:rPr>
    </w:pPr>
  </w:p>
  <w:p w14:paraId="2376D254" w14:textId="77777777" w:rsidR="002C3FB9" w:rsidRDefault="002C3F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26"/>
      <w:gridCol w:w="5926"/>
      <w:gridCol w:w="997"/>
    </w:tblGrid>
    <w:tr w:rsidR="002C3FB9" w14:paraId="31FAE131" w14:textId="77777777" w:rsidTr="006A5818">
      <w:tc>
        <w:tcPr>
          <w:tcW w:w="1008" w:type="dxa"/>
        </w:tcPr>
        <w:p w14:paraId="5942D3A2" w14:textId="77777777" w:rsidR="002C3FB9" w:rsidRDefault="002C3FB9" w:rsidP="006A5818">
          <w:pPr>
            <w:pStyle w:val="Header"/>
            <w:jc w:val="center"/>
            <w:rPr>
              <w:sz w:val="18"/>
            </w:rPr>
          </w:pPr>
          <w:r>
            <w:rPr>
              <w:noProof/>
              <w:sz w:val="18"/>
            </w:rPr>
            <w:drawing>
              <wp:anchor distT="0" distB="0" distL="114300" distR="114300" simplePos="0" relativeHeight="251661312" behindDoc="0" locked="0" layoutInCell="1" allowOverlap="1" wp14:anchorId="6BCEB46F" wp14:editId="73ECFA03">
                <wp:simplePos x="0" y="0"/>
                <wp:positionH relativeFrom="column">
                  <wp:posOffset>-48895</wp:posOffset>
                </wp:positionH>
                <wp:positionV relativeFrom="paragraph">
                  <wp:posOffset>3175</wp:posOffset>
                </wp:positionV>
                <wp:extent cx="492760" cy="647065"/>
                <wp:effectExtent l="19050" t="0" r="2540" b="0"/>
                <wp:wrapSquare wrapText="left"/>
                <wp:docPr id="781644922" name="Picture 781644922" desc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
                        <pic:cNvPicPr>
                          <a:picLocks noChangeAspect="1" noChangeArrowheads="1"/>
                        </pic:cNvPicPr>
                      </pic:nvPicPr>
                      <pic:blipFill>
                        <a:blip r:embed="rId1"/>
                        <a:srcRect/>
                        <a:stretch>
                          <a:fillRect/>
                        </a:stretch>
                      </pic:blipFill>
                      <pic:spPr bwMode="auto">
                        <a:xfrm>
                          <a:off x="0" y="0"/>
                          <a:ext cx="492760" cy="647065"/>
                        </a:xfrm>
                        <a:prstGeom prst="rect">
                          <a:avLst/>
                        </a:prstGeom>
                        <a:noFill/>
                      </pic:spPr>
                    </pic:pic>
                  </a:graphicData>
                </a:graphic>
              </wp:anchor>
            </w:drawing>
          </w:r>
        </w:p>
      </w:tc>
      <w:tc>
        <w:tcPr>
          <w:tcW w:w="5940" w:type="dxa"/>
        </w:tcPr>
        <w:p w14:paraId="73BDCB6F" w14:textId="77777777" w:rsidR="002C3FB9" w:rsidRPr="00EA1994" w:rsidRDefault="002C3FB9" w:rsidP="006A5818">
          <w:pPr>
            <w:pStyle w:val="Header"/>
            <w:jc w:val="center"/>
          </w:pPr>
          <w:r w:rsidRPr="00EA1994">
            <w:t>Jahangirnagar University Journal of Statistical Studies</w:t>
          </w:r>
        </w:p>
        <w:p w14:paraId="53325C81" w14:textId="77777777" w:rsidR="002C3FB9" w:rsidRPr="00EA1994" w:rsidRDefault="002C3FB9" w:rsidP="006A5818">
          <w:pPr>
            <w:pStyle w:val="Header"/>
            <w:jc w:val="center"/>
            <w:rPr>
              <w:i/>
              <w:sz w:val="20"/>
            </w:rPr>
          </w:pPr>
          <w:r w:rsidRPr="00EA1994">
            <w:rPr>
              <w:i/>
              <w:sz w:val="20"/>
            </w:rPr>
            <w:t>ISSN 1022-4734</w:t>
          </w:r>
        </w:p>
        <w:p w14:paraId="4E13B261" w14:textId="77777777" w:rsidR="002C3FB9" w:rsidRDefault="002C3FB9" w:rsidP="006A5818">
          <w:pPr>
            <w:pStyle w:val="Header"/>
            <w:jc w:val="center"/>
            <w:rPr>
              <w:sz w:val="18"/>
            </w:rPr>
          </w:pPr>
        </w:p>
        <w:p w14:paraId="64AF1432" w14:textId="77777777" w:rsidR="002C3FB9" w:rsidRDefault="002C3FB9" w:rsidP="006A5818">
          <w:pPr>
            <w:pStyle w:val="Header"/>
            <w:jc w:val="center"/>
            <w:rPr>
              <w:sz w:val="18"/>
            </w:rPr>
          </w:pPr>
          <w:r w:rsidRPr="00EA1994">
            <w:rPr>
              <w:sz w:val="18"/>
            </w:rPr>
            <w:t>http://www.juniv.edu/department/stat</w:t>
          </w:r>
        </w:p>
      </w:tc>
      <w:tc>
        <w:tcPr>
          <w:tcW w:w="1001" w:type="dxa"/>
        </w:tcPr>
        <w:p w14:paraId="2BA69DA7" w14:textId="77777777" w:rsidR="002C3FB9" w:rsidRDefault="002C3FB9">
          <w:pPr>
            <w:pStyle w:val="Header"/>
            <w:jc w:val="right"/>
            <w:rPr>
              <w:sz w:val="18"/>
            </w:rPr>
          </w:pPr>
        </w:p>
      </w:tc>
    </w:tr>
  </w:tbl>
  <w:p w14:paraId="009DE042" w14:textId="1C6929B5" w:rsidR="002C3FB9" w:rsidRDefault="002C3FB9">
    <w:pPr>
      <w:pStyle w:val="Header"/>
      <w:rPr>
        <w:sz w:val="20"/>
      </w:rPr>
    </w:pPr>
    <w:r>
      <w:rPr>
        <w:sz w:val="20"/>
      </w:rPr>
      <w:t>JUJSS, Vol. 3</w:t>
    </w:r>
    <w:r w:rsidR="00E31529">
      <w:rPr>
        <w:sz w:val="20"/>
      </w:rPr>
      <w:t>8</w:t>
    </w:r>
    <w:r>
      <w:rPr>
        <w:sz w:val="20"/>
      </w:rPr>
      <w:t>, 202</w:t>
    </w:r>
    <w:r w:rsidR="00F42AA9">
      <w:rPr>
        <w:sz w:val="20"/>
      </w:rPr>
      <w:t>6</w:t>
    </w:r>
    <w:r>
      <w:rPr>
        <w:sz w:val="20"/>
      </w:rPr>
      <w:t>, pp.</w:t>
    </w:r>
    <w:r w:rsidR="00C9558A">
      <w:rPr>
        <w:sz w:val="20"/>
      </w:rPr>
      <w:t>01-1</w:t>
    </w:r>
    <w:r w:rsidR="003465CE">
      <w:rPr>
        <w:sz w:val="20"/>
      </w:rPr>
      <w:t>1</w:t>
    </w:r>
    <w:r>
      <w:rPr>
        <w:sz w:val="20"/>
      </w:rPr>
      <w:t xml:space="preserve"> </w:t>
    </w:r>
  </w:p>
  <w:p w14:paraId="769094A1" w14:textId="77777777" w:rsidR="002C3FB9" w:rsidRDefault="002C3FB9" w:rsidP="00953C15">
    <w:pPr>
      <w:pStyle w:val="Header"/>
      <w:tabs>
        <w:tab w:val="clear" w:pos="4320"/>
        <w:tab w:val="clear" w:pos="8640"/>
        <w:tab w:val="left" w:pos="1359"/>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69D"/>
    <w:multiLevelType w:val="hybridMultilevel"/>
    <w:tmpl w:val="71D20324"/>
    <w:lvl w:ilvl="0" w:tplc="86EA4B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66DA9"/>
    <w:multiLevelType w:val="multilevel"/>
    <w:tmpl w:val="82EE81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0F4EF9"/>
    <w:multiLevelType w:val="hybridMultilevel"/>
    <w:tmpl w:val="63869A98"/>
    <w:lvl w:ilvl="0" w:tplc="2774D524">
      <w:numFmt w:val="bullet"/>
      <w:lvlText w:val="•"/>
      <w:lvlJc w:val="left"/>
      <w:pPr>
        <w:ind w:left="1470" w:hanging="360"/>
      </w:pPr>
      <w:rPr>
        <w:rFonts w:ascii="Times New Roman" w:eastAsiaTheme="minorEastAsia" w:hAnsi="Times New Roman" w:cs="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 w15:restartNumberingAfterBreak="0">
    <w:nsid w:val="21AB5301"/>
    <w:multiLevelType w:val="hybridMultilevel"/>
    <w:tmpl w:val="2A008AE6"/>
    <w:lvl w:ilvl="0" w:tplc="429CB170">
      <w:start w:val="1"/>
      <w:numFmt w:val="lowerRoman"/>
      <w:lvlText w:val="%1."/>
      <w:lvlJc w:val="right"/>
      <w:pPr>
        <w:ind w:left="2985" w:hanging="360"/>
      </w:pPr>
      <w:rPr>
        <w:rFonts w:hint="default"/>
        <w:b/>
        <w:i w:val="0"/>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4" w15:restartNumberingAfterBreak="0">
    <w:nsid w:val="2DED193C"/>
    <w:multiLevelType w:val="hybridMultilevel"/>
    <w:tmpl w:val="C4C42D00"/>
    <w:lvl w:ilvl="0" w:tplc="C908E004">
      <w:start w:val="1"/>
      <w:numFmt w:val="lowerRoman"/>
      <w:lvlText w:val="(%1)."/>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1B6C0E"/>
    <w:multiLevelType w:val="multilevel"/>
    <w:tmpl w:val="F81A90B8"/>
    <w:lvl w:ilvl="0">
      <w:start w:val="1"/>
      <w:numFmt w:val="none"/>
      <w:lvlText w:val="5."/>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3D1C66"/>
    <w:multiLevelType w:val="hybridMultilevel"/>
    <w:tmpl w:val="74045128"/>
    <w:lvl w:ilvl="0" w:tplc="FB3CD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F37BBB"/>
    <w:multiLevelType w:val="hybridMultilevel"/>
    <w:tmpl w:val="B7583434"/>
    <w:lvl w:ilvl="0" w:tplc="66BE0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BA3D09"/>
    <w:multiLevelType w:val="hybridMultilevel"/>
    <w:tmpl w:val="D6564FC2"/>
    <w:lvl w:ilvl="0" w:tplc="FB348716">
      <w:start w:val="1"/>
      <w:numFmt w:val="decimal"/>
      <w:lvlText w:val="%1."/>
      <w:lvlJc w:val="left"/>
      <w:pPr>
        <w:ind w:left="1485" w:hanging="375"/>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9" w15:restartNumberingAfterBreak="0">
    <w:nsid w:val="40C17A4B"/>
    <w:multiLevelType w:val="multilevel"/>
    <w:tmpl w:val="D1E86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8C194B"/>
    <w:multiLevelType w:val="multilevel"/>
    <w:tmpl w:val="28E2AC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193CB6"/>
    <w:multiLevelType w:val="hybridMultilevel"/>
    <w:tmpl w:val="B13AA0F0"/>
    <w:lvl w:ilvl="0" w:tplc="429CB170">
      <w:start w:val="1"/>
      <w:numFmt w:val="lowerRoman"/>
      <w:lvlText w:val="%1."/>
      <w:lvlJc w:val="right"/>
      <w:pPr>
        <w:ind w:left="183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AC33DC"/>
    <w:multiLevelType w:val="multilevel"/>
    <w:tmpl w:val="51DA96E4"/>
    <w:lvl w:ilvl="0">
      <w:start w:val="1"/>
      <w:numFmt w:val="decimal"/>
      <w:lvlText w:val="%1."/>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137958"/>
    <w:multiLevelType w:val="multilevel"/>
    <w:tmpl w:val="5E76702A"/>
    <w:lvl w:ilvl="0">
      <w:start w:val="1"/>
      <w:numFmt w:val="none"/>
      <w:lvlText w:val="2.2"/>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A2A4435"/>
    <w:multiLevelType w:val="multilevel"/>
    <w:tmpl w:val="D8001A6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E790E94"/>
    <w:multiLevelType w:val="hybridMultilevel"/>
    <w:tmpl w:val="179AE088"/>
    <w:lvl w:ilvl="0" w:tplc="121ACBC6">
      <w:start w:val="1"/>
      <w:numFmt w:val="lowerRoman"/>
      <w:lvlText w:val="(%1)"/>
      <w:lvlJc w:val="left"/>
      <w:pPr>
        <w:ind w:left="1080" w:hanging="72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F868F9"/>
    <w:multiLevelType w:val="multilevel"/>
    <w:tmpl w:val="9D7C0D42"/>
    <w:lvl w:ilvl="0">
      <w:start w:val="1"/>
      <w:numFmt w:val="none"/>
      <w:lvlText w:val="2.3"/>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BD16121"/>
    <w:multiLevelType w:val="multilevel"/>
    <w:tmpl w:val="7A885268"/>
    <w:lvl w:ilvl="0">
      <w:start w:val="1"/>
      <w:numFmt w:val="none"/>
      <w:lvlText w:val="2."/>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D865040"/>
    <w:multiLevelType w:val="multilevel"/>
    <w:tmpl w:val="ADAE8698"/>
    <w:lvl w:ilvl="0">
      <w:start w:val="1"/>
      <w:numFmt w:val="none"/>
      <w:lvlText w:val="2.1"/>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3187734">
    <w:abstractNumId w:val="12"/>
  </w:num>
  <w:num w:numId="2" w16cid:durableId="1837645579">
    <w:abstractNumId w:val="17"/>
  </w:num>
  <w:num w:numId="3" w16cid:durableId="136798379">
    <w:abstractNumId w:val="18"/>
  </w:num>
  <w:num w:numId="4" w16cid:durableId="314998004">
    <w:abstractNumId w:val="13"/>
  </w:num>
  <w:num w:numId="5" w16cid:durableId="765539437">
    <w:abstractNumId w:val="16"/>
  </w:num>
  <w:num w:numId="6" w16cid:durableId="1451975825">
    <w:abstractNumId w:val="5"/>
  </w:num>
  <w:num w:numId="7" w16cid:durableId="2044472709">
    <w:abstractNumId w:val="1"/>
  </w:num>
  <w:num w:numId="8" w16cid:durableId="512378089">
    <w:abstractNumId w:val="0"/>
  </w:num>
  <w:num w:numId="9" w16cid:durableId="2033410545">
    <w:abstractNumId w:val="11"/>
  </w:num>
  <w:num w:numId="10" w16cid:durableId="1555776664">
    <w:abstractNumId w:val="2"/>
  </w:num>
  <w:num w:numId="11" w16cid:durableId="1336765679">
    <w:abstractNumId w:val="8"/>
  </w:num>
  <w:num w:numId="12" w16cid:durableId="1036663152">
    <w:abstractNumId w:val="3"/>
  </w:num>
  <w:num w:numId="13" w16cid:durableId="182518200">
    <w:abstractNumId w:val="15"/>
  </w:num>
  <w:num w:numId="14" w16cid:durableId="1924952208">
    <w:abstractNumId w:val="6"/>
  </w:num>
  <w:num w:numId="15" w16cid:durableId="1692687525">
    <w:abstractNumId w:val="7"/>
  </w:num>
  <w:num w:numId="16" w16cid:durableId="668866611">
    <w:abstractNumId w:val="14"/>
  </w:num>
  <w:num w:numId="17" w16cid:durableId="1436557826">
    <w:abstractNumId w:val="10"/>
  </w:num>
  <w:num w:numId="18" w16cid:durableId="1975913028">
    <w:abstractNumId w:val="9"/>
  </w:num>
  <w:num w:numId="19" w16cid:durableId="107454851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numFmt w:val="chicago"/>
    <w:numRestart w:val="eachSect"/>
    <w:footnote w:id="-1"/>
    <w:footnote w:id="0"/>
  </w:footnotePr>
  <w:endnotePr>
    <w:pos w:val="sectEnd"/>
    <w:numRestart w:val="eachSect"/>
    <w:endnote w:id="-1"/>
    <w:endnote w:id="0"/>
  </w:endnotePr>
  <w:compat>
    <w:compatSetting w:name="compatibilityMode" w:uri="http://schemas.microsoft.com/office/word" w:val="12"/>
    <w:compatSetting w:name="useWord2013TrackBottomHyphenation" w:uri="http://schemas.microsoft.com/office/word" w:val="1"/>
  </w:compat>
  <w:rsids>
    <w:rsidRoot w:val="00464CA2"/>
    <w:rsid w:val="00002058"/>
    <w:rsid w:val="00006A96"/>
    <w:rsid w:val="00006C91"/>
    <w:rsid w:val="00011C88"/>
    <w:rsid w:val="0001535C"/>
    <w:rsid w:val="00015523"/>
    <w:rsid w:val="00016699"/>
    <w:rsid w:val="00021DBC"/>
    <w:rsid w:val="0002469F"/>
    <w:rsid w:val="000256B9"/>
    <w:rsid w:val="000272AD"/>
    <w:rsid w:val="000278FC"/>
    <w:rsid w:val="0003065D"/>
    <w:rsid w:val="0004086E"/>
    <w:rsid w:val="00040BA9"/>
    <w:rsid w:val="000441B6"/>
    <w:rsid w:val="00044902"/>
    <w:rsid w:val="00045F48"/>
    <w:rsid w:val="000467D9"/>
    <w:rsid w:val="00047198"/>
    <w:rsid w:val="0005051E"/>
    <w:rsid w:val="00082C0E"/>
    <w:rsid w:val="0008473D"/>
    <w:rsid w:val="00092C0D"/>
    <w:rsid w:val="000A119A"/>
    <w:rsid w:val="000A6B33"/>
    <w:rsid w:val="000B3DDC"/>
    <w:rsid w:val="000C402C"/>
    <w:rsid w:val="000C5DDB"/>
    <w:rsid w:val="000D035F"/>
    <w:rsid w:val="000D115D"/>
    <w:rsid w:val="000E4D95"/>
    <w:rsid w:val="000E7B24"/>
    <w:rsid w:val="000F1160"/>
    <w:rsid w:val="000F1A45"/>
    <w:rsid w:val="00100A29"/>
    <w:rsid w:val="00101B56"/>
    <w:rsid w:val="0010698A"/>
    <w:rsid w:val="001070F4"/>
    <w:rsid w:val="00107236"/>
    <w:rsid w:val="00111F70"/>
    <w:rsid w:val="00112FEF"/>
    <w:rsid w:val="0012069D"/>
    <w:rsid w:val="0012242E"/>
    <w:rsid w:val="00122EE1"/>
    <w:rsid w:val="00142B3B"/>
    <w:rsid w:val="00143DD7"/>
    <w:rsid w:val="00145503"/>
    <w:rsid w:val="0014552E"/>
    <w:rsid w:val="001479A1"/>
    <w:rsid w:val="0015577C"/>
    <w:rsid w:val="00160AF0"/>
    <w:rsid w:val="00161884"/>
    <w:rsid w:val="001715E8"/>
    <w:rsid w:val="001718AB"/>
    <w:rsid w:val="0018381C"/>
    <w:rsid w:val="00195A98"/>
    <w:rsid w:val="001A0A16"/>
    <w:rsid w:val="001A179A"/>
    <w:rsid w:val="001A46E1"/>
    <w:rsid w:val="001B7476"/>
    <w:rsid w:val="001C036E"/>
    <w:rsid w:val="001C4758"/>
    <w:rsid w:val="001C480D"/>
    <w:rsid w:val="001E0585"/>
    <w:rsid w:val="001F11D6"/>
    <w:rsid w:val="001F1DF5"/>
    <w:rsid w:val="001F6221"/>
    <w:rsid w:val="001F63DE"/>
    <w:rsid w:val="00200165"/>
    <w:rsid w:val="00202485"/>
    <w:rsid w:val="00202ECE"/>
    <w:rsid w:val="00211600"/>
    <w:rsid w:val="00217F85"/>
    <w:rsid w:val="00220137"/>
    <w:rsid w:val="002223A0"/>
    <w:rsid w:val="00223B62"/>
    <w:rsid w:val="00226D07"/>
    <w:rsid w:val="002279DD"/>
    <w:rsid w:val="00242DC7"/>
    <w:rsid w:val="00243E7B"/>
    <w:rsid w:val="00262B2F"/>
    <w:rsid w:val="00272858"/>
    <w:rsid w:val="0027620E"/>
    <w:rsid w:val="00291C2D"/>
    <w:rsid w:val="002939E7"/>
    <w:rsid w:val="002A0A11"/>
    <w:rsid w:val="002A1494"/>
    <w:rsid w:val="002A4214"/>
    <w:rsid w:val="002B4F85"/>
    <w:rsid w:val="002C0E3D"/>
    <w:rsid w:val="002C2CCE"/>
    <w:rsid w:val="002C3FB9"/>
    <w:rsid w:val="002C52B0"/>
    <w:rsid w:val="002C5F6F"/>
    <w:rsid w:val="002E0535"/>
    <w:rsid w:val="002E3B8E"/>
    <w:rsid w:val="002E7F71"/>
    <w:rsid w:val="002F1A7C"/>
    <w:rsid w:val="002F3D9C"/>
    <w:rsid w:val="002F7C7A"/>
    <w:rsid w:val="00300C04"/>
    <w:rsid w:val="00304929"/>
    <w:rsid w:val="00307066"/>
    <w:rsid w:val="0031516B"/>
    <w:rsid w:val="00317889"/>
    <w:rsid w:val="003355E9"/>
    <w:rsid w:val="003465CE"/>
    <w:rsid w:val="003505F0"/>
    <w:rsid w:val="003509A4"/>
    <w:rsid w:val="00352B5A"/>
    <w:rsid w:val="00355E93"/>
    <w:rsid w:val="0035646F"/>
    <w:rsid w:val="003626F8"/>
    <w:rsid w:val="003757FB"/>
    <w:rsid w:val="00375EDC"/>
    <w:rsid w:val="003800C1"/>
    <w:rsid w:val="0038074B"/>
    <w:rsid w:val="00381392"/>
    <w:rsid w:val="00381E17"/>
    <w:rsid w:val="00385844"/>
    <w:rsid w:val="003938FD"/>
    <w:rsid w:val="003B096F"/>
    <w:rsid w:val="003B09EE"/>
    <w:rsid w:val="003B31B8"/>
    <w:rsid w:val="003B38F4"/>
    <w:rsid w:val="003B76D5"/>
    <w:rsid w:val="003C0B15"/>
    <w:rsid w:val="003C1149"/>
    <w:rsid w:val="003C165C"/>
    <w:rsid w:val="003C3B37"/>
    <w:rsid w:val="003E4B9A"/>
    <w:rsid w:val="003F223F"/>
    <w:rsid w:val="003F467C"/>
    <w:rsid w:val="003F69CB"/>
    <w:rsid w:val="00404911"/>
    <w:rsid w:val="00410272"/>
    <w:rsid w:val="00411ACC"/>
    <w:rsid w:val="004151DD"/>
    <w:rsid w:val="004247F6"/>
    <w:rsid w:val="0042790A"/>
    <w:rsid w:val="0043088D"/>
    <w:rsid w:val="004315E0"/>
    <w:rsid w:val="004403F4"/>
    <w:rsid w:val="00441BE2"/>
    <w:rsid w:val="00442AF4"/>
    <w:rsid w:val="00443979"/>
    <w:rsid w:val="00444C95"/>
    <w:rsid w:val="0044549E"/>
    <w:rsid w:val="004500F1"/>
    <w:rsid w:val="004558A8"/>
    <w:rsid w:val="00463AFA"/>
    <w:rsid w:val="00464CA2"/>
    <w:rsid w:val="004659E0"/>
    <w:rsid w:val="00467257"/>
    <w:rsid w:val="004713EA"/>
    <w:rsid w:val="0047358B"/>
    <w:rsid w:val="0048150E"/>
    <w:rsid w:val="0048280B"/>
    <w:rsid w:val="0048522C"/>
    <w:rsid w:val="00487356"/>
    <w:rsid w:val="004873B2"/>
    <w:rsid w:val="004931EC"/>
    <w:rsid w:val="004958ED"/>
    <w:rsid w:val="004A3776"/>
    <w:rsid w:val="004C290D"/>
    <w:rsid w:val="004C3210"/>
    <w:rsid w:val="004D3456"/>
    <w:rsid w:val="004D6A0C"/>
    <w:rsid w:val="004E0154"/>
    <w:rsid w:val="004E4EF6"/>
    <w:rsid w:val="004E6692"/>
    <w:rsid w:val="004F442E"/>
    <w:rsid w:val="00501FFB"/>
    <w:rsid w:val="005164B9"/>
    <w:rsid w:val="005176B5"/>
    <w:rsid w:val="00536419"/>
    <w:rsid w:val="00536DB7"/>
    <w:rsid w:val="00542C52"/>
    <w:rsid w:val="00551B86"/>
    <w:rsid w:val="00552FBB"/>
    <w:rsid w:val="00561A43"/>
    <w:rsid w:val="00563965"/>
    <w:rsid w:val="00564413"/>
    <w:rsid w:val="00580058"/>
    <w:rsid w:val="00580505"/>
    <w:rsid w:val="00580F6F"/>
    <w:rsid w:val="005821DF"/>
    <w:rsid w:val="0058434B"/>
    <w:rsid w:val="005845CB"/>
    <w:rsid w:val="00590926"/>
    <w:rsid w:val="005A0695"/>
    <w:rsid w:val="005A21E8"/>
    <w:rsid w:val="005A2F4B"/>
    <w:rsid w:val="005B3380"/>
    <w:rsid w:val="005C333B"/>
    <w:rsid w:val="005D4DBC"/>
    <w:rsid w:val="005D542E"/>
    <w:rsid w:val="005E3242"/>
    <w:rsid w:val="005E450E"/>
    <w:rsid w:val="005F52EA"/>
    <w:rsid w:val="005F5ADF"/>
    <w:rsid w:val="00604001"/>
    <w:rsid w:val="00604BF7"/>
    <w:rsid w:val="006055A2"/>
    <w:rsid w:val="00605C49"/>
    <w:rsid w:val="006077D6"/>
    <w:rsid w:val="00612EEB"/>
    <w:rsid w:val="00614453"/>
    <w:rsid w:val="00615245"/>
    <w:rsid w:val="006233FE"/>
    <w:rsid w:val="006235F0"/>
    <w:rsid w:val="006253C3"/>
    <w:rsid w:val="006267E4"/>
    <w:rsid w:val="0063520D"/>
    <w:rsid w:val="00643B82"/>
    <w:rsid w:val="00645477"/>
    <w:rsid w:val="00650B04"/>
    <w:rsid w:val="00651969"/>
    <w:rsid w:val="0065322D"/>
    <w:rsid w:val="00663370"/>
    <w:rsid w:val="00677765"/>
    <w:rsid w:val="00680172"/>
    <w:rsid w:val="006818EA"/>
    <w:rsid w:val="00683D32"/>
    <w:rsid w:val="006926FF"/>
    <w:rsid w:val="00693473"/>
    <w:rsid w:val="006A25D2"/>
    <w:rsid w:val="006A5818"/>
    <w:rsid w:val="006A60BE"/>
    <w:rsid w:val="006B0651"/>
    <w:rsid w:val="006B1BBD"/>
    <w:rsid w:val="006B29B2"/>
    <w:rsid w:val="006B3E02"/>
    <w:rsid w:val="006C06CD"/>
    <w:rsid w:val="006C6418"/>
    <w:rsid w:val="006D2D01"/>
    <w:rsid w:val="006D30C1"/>
    <w:rsid w:val="006D4C3B"/>
    <w:rsid w:val="006D5A12"/>
    <w:rsid w:val="006E2EE5"/>
    <w:rsid w:val="006F7D36"/>
    <w:rsid w:val="007038DB"/>
    <w:rsid w:val="00707AF7"/>
    <w:rsid w:val="00710CD4"/>
    <w:rsid w:val="00721DAB"/>
    <w:rsid w:val="00723E42"/>
    <w:rsid w:val="007252E6"/>
    <w:rsid w:val="00727228"/>
    <w:rsid w:val="007275B6"/>
    <w:rsid w:val="00732913"/>
    <w:rsid w:val="00736353"/>
    <w:rsid w:val="00736C05"/>
    <w:rsid w:val="00743B83"/>
    <w:rsid w:val="00750F19"/>
    <w:rsid w:val="00753371"/>
    <w:rsid w:val="00760F0A"/>
    <w:rsid w:val="00765D6C"/>
    <w:rsid w:val="00772282"/>
    <w:rsid w:val="00775097"/>
    <w:rsid w:val="007850D2"/>
    <w:rsid w:val="00786E56"/>
    <w:rsid w:val="0079299B"/>
    <w:rsid w:val="0079694A"/>
    <w:rsid w:val="007A0D4A"/>
    <w:rsid w:val="007A4772"/>
    <w:rsid w:val="007C49E5"/>
    <w:rsid w:val="007D003E"/>
    <w:rsid w:val="007E1B87"/>
    <w:rsid w:val="007E7018"/>
    <w:rsid w:val="007F083E"/>
    <w:rsid w:val="007F4F50"/>
    <w:rsid w:val="00800826"/>
    <w:rsid w:val="00801717"/>
    <w:rsid w:val="00804CDD"/>
    <w:rsid w:val="00811802"/>
    <w:rsid w:val="008175C1"/>
    <w:rsid w:val="00821E83"/>
    <w:rsid w:val="0082473A"/>
    <w:rsid w:val="00825C1C"/>
    <w:rsid w:val="00835488"/>
    <w:rsid w:val="00836DC4"/>
    <w:rsid w:val="00837432"/>
    <w:rsid w:val="00850834"/>
    <w:rsid w:val="00854B37"/>
    <w:rsid w:val="00855D46"/>
    <w:rsid w:val="00857C02"/>
    <w:rsid w:val="00863F23"/>
    <w:rsid w:val="008717F0"/>
    <w:rsid w:val="00871B6F"/>
    <w:rsid w:val="00874FC0"/>
    <w:rsid w:val="00876CDC"/>
    <w:rsid w:val="00881A32"/>
    <w:rsid w:val="0088355B"/>
    <w:rsid w:val="00884700"/>
    <w:rsid w:val="00897C2C"/>
    <w:rsid w:val="008A07B5"/>
    <w:rsid w:val="008A517A"/>
    <w:rsid w:val="008B0849"/>
    <w:rsid w:val="008B5014"/>
    <w:rsid w:val="008B5C9C"/>
    <w:rsid w:val="008C7EAB"/>
    <w:rsid w:val="008E016B"/>
    <w:rsid w:val="008E262E"/>
    <w:rsid w:val="008E3599"/>
    <w:rsid w:val="008E3CF0"/>
    <w:rsid w:val="008E45EA"/>
    <w:rsid w:val="008E571D"/>
    <w:rsid w:val="008F0D7D"/>
    <w:rsid w:val="009016F8"/>
    <w:rsid w:val="0090489C"/>
    <w:rsid w:val="009139E8"/>
    <w:rsid w:val="00920F20"/>
    <w:rsid w:val="00921373"/>
    <w:rsid w:val="00930385"/>
    <w:rsid w:val="009313BA"/>
    <w:rsid w:val="0093751D"/>
    <w:rsid w:val="00937B72"/>
    <w:rsid w:val="0095306E"/>
    <w:rsid w:val="00953C15"/>
    <w:rsid w:val="0096247F"/>
    <w:rsid w:val="009627C7"/>
    <w:rsid w:val="00965C59"/>
    <w:rsid w:val="00983CD8"/>
    <w:rsid w:val="009876E6"/>
    <w:rsid w:val="009943C4"/>
    <w:rsid w:val="009979DB"/>
    <w:rsid w:val="00997E9A"/>
    <w:rsid w:val="009B0EC7"/>
    <w:rsid w:val="009B13CD"/>
    <w:rsid w:val="009B6852"/>
    <w:rsid w:val="009C0A52"/>
    <w:rsid w:val="009C1058"/>
    <w:rsid w:val="009C3ADC"/>
    <w:rsid w:val="009E533E"/>
    <w:rsid w:val="009E57D2"/>
    <w:rsid w:val="009E61CB"/>
    <w:rsid w:val="009E6FA9"/>
    <w:rsid w:val="009F0EAE"/>
    <w:rsid w:val="009F32FD"/>
    <w:rsid w:val="009F56FF"/>
    <w:rsid w:val="00A04361"/>
    <w:rsid w:val="00A05A46"/>
    <w:rsid w:val="00A06FB8"/>
    <w:rsid w:val="00A15651"/>
    <w:rsid w:val="00A220FE"/>
    <w:rsid w:val="00A23E9E"/>
    <w:rsid w:val="00A271C8"/>
    <w:rsid w:val="00A31758"/>
    <w:rsid w:val="00A32631"/>
    <w:rsid w:val="00A344C1"/>
    <w:rsid w:val="00A36818"/>
    <w:rsid w:val="00A36D67"/>
    <w:rsid w:val="00A55078"/>
    <w:rsid w:val="00A5699B"/>
    <w:rsid w:val="00A56C12"/>
    <w:rsid w:val="00A72466"/>
    <w:rsid w:val="00A744B8"/>
    <w:rsid w:val="00A77DFE"/>
    <w:rsid w:val="00A824AF"/>
    <w:rsid w:val="00A8332B"/>
    <w:rsid w:val="00A85FA3"/>
    <w:rsid w:val="00A94EB0"/>
    <w:rsid w:val="00AA3C1C"/>
    <w:rsid w:val="00AA44CB"/>
    <w:rsid w:val="00AA6F26"/>
    <w:rsid w:val="00AB12A0"/>
    <w:rsid w:val="00AB2DCD"/>
    <w:rsid w:val="00AC143F"/>
    <w:rsid w:val="00AC34BF"/>
    <w:rsid w:val="00AE1EAC"/>
    <w:rsid w:val="00B04E85"/>
    <w:rsid w:val="00B052D9"/>
    <w:rsid w:val="00B122DC"/>
    <w:rsid w:val="00B2290E"/>
    <w:rsid w:val="00B25F34"/>
    <w:rsid w:val="00B34439"/>
    <w:rsid w:val="00B34854"/>
    <w:rsid w:val="00B37547"/>
    <w:rsid w:val="00B42C16"/>
    <w:rsid w:val="00B4537B"/>
    <w:rsid w:val="00B46091"/>
    <w:rsid w:val="00B506A7"/>
    <w:rsid w:val="00B57588"/>
    <w:rsid w:val="00B60541"/>
    <w:rsid w:val="00B6251B"/>
    <w:rsid w:val="00B74269"/>
    <w:rsid w:val="00B74D18"/>
    <w:rsid w:val="00B75AF3"/>
    <w:rsid w:val="00B76788"/>
    <w:rsid w:val="00B81EC0"/>
    <w:rsid w:val="00B862B9"/>
    <w:rsid w:val="00B908F6"/>
    <w:rsid w:val="00B9473B"/>
    <w:rsid w:val="00B94CC5"/>
    <w:rsid w:val="00BA5C06"/>
    <w:rsid w:val="00BB0155"/>
    <w:rsid w:val="00BB1178"/>
    <w:rsid w:val="00BB123E"/>
    <w:rsid w:val="00BB5EF3"/>
    <w:rsid w:val="00BC0F2A"/>
    <w:rsid w:val="00BC1DDE"/>
    <w:rsid w:val="00BC6E8F"/>
    <w:rsid w:val="00BD7466"/>
    <w:rsid w:val="00BE0D2A"/>
    <w:rsid w:val="00BE10E6"/>
    <w:rsid w:val="00BE3DBC"/>
    <w:rsid w:val="00BF5A3E"/>
    <w:rsid w:val="00C00BCE"/>
    <w:rsid w:val="00C016FC"/>
    <w:rsid w:val="00C03ECC"/>
    <w:rsid w:val="00C04B12"/>
    <w:rsid w:val="00C06CA4"/>
    <w:rsid w:val="00C10FFB"/>
    <w:rsid w:val="00C11BCD"/>
    <w:rsid w:val="00C17579"/>
    <w:rsid w:val="00C22443"/>
    <w:rsid w:val="00C22DDD"/>
    <w:rsid w:val="00C26FE9"/>
    <w:rsid w:val="00C30274"/>
    <w:rsid w:val="00C302D3"/>
    <w:rsid w:val="00C3567E"/>
    <w:rsid w:val="00C363DE"/>
    <w:rsid w:val="00C37252"/>
    <w:rsid w:val="00C4446C"/>
    <w:rsid w:val="00C51C96"/>
    <w:rsid w:val="00C60881"/>
    <w:rsid w:val="00C645E3"/>
    <w:rsid w:val="00C66695"/>
    <w:rsid w:val="00C67DC7"/>
    <w:rsid w:val="00C77888"/>
    <w:rsid w:val="00C77F81"/>
    <w:rsid w:val="00C82EF0"/>
    <w:rsid w:val="00C83EAE"/>
    <w:rsid w:val="00C8641A"/>
    <w:rsid w:val="00C876DB"/>
    <w:rsid w:val="00C91027"/>
    <w:rsid w:val="00C945A8"/>
    <w:rsid w:val="00C9558A"/>
    <w:rsid w:val="00CB4536"/>
    <w:rsid w:val="00CB7EF7"/>
    <w:rsid w:val="00CC2515"/>
    <w:rsid w:val="00CC2E72"/>
    <w:rsid w:val="00CC7BE2"/>
    <w:rsid w:val="00CD4CED"/>
    <w:rsid w:val="00CD63CC"/>
    <w:rsid w:val="00CD6E43"/>
    <w:rsid w:val="00CE1E5E"/>
    <w:rsid w:val="00CE1FE2"/>
    <w:rsid w:val="00CE481D"/>
    <w:rsid w:val="00D00398"/>
    <w:rsid w:val="00D05A8A"/>
    <w:rsid w:val="00D077A7"/>
    <w:rsid w:val="00D10868"/>
    <w:rsid w:val="00D1606C"/>
    <w:rsid w:val="00D20473"/>
    <w:rsid w:val="00D32301"/>
    <w:rsid w:val="00D33381"/>
    <w:rsid w:val="00D3595F"/>
    <w:rsid w:val="00D37AD6"/>
    <w:rsid w:val="00D425B9"/>
    <w:rsid w:val="00D60263"/>
    <w:rsid w:val="00D63D6D"/>
    <w:rsid w:val="00D70C55"/>
    <w:rsid w:val="00D76CF3"/>
    <w:rsid w:val="00D76F15"/>
    <w:rsid w:val="00D80E74"/>
    <w:rsid w:val="00DA5843"/>
    <w:rsid w:val="00DB68BE"/>
    <w:rsid w:val="00DC0DAA"/>
    <w:rsid w:val="00DC2C13"/>
    <w:rsid w:val="00DC3F25"/>
    <w:rsid w:val="00DD2F7F"/>
    <w:rsid w:val="00DD30CF"/>
    <w:rsid w:val="00DD5893"/>
    <w:rsid w:val="00DD59E8"/>
    <w:rsid w:val="00DD7CD3"/>
    <w:rsid w:val="00DF0D0B"/>
    <w:rsid w:val="00DF52ED"/>
    <w:rsid w:val="00E01F9B"/>
    <w:rsid w:val="00E03DE5"/>
    <w:rsid w:val="00E07A0D"/>
    <w:rsid w:val="00E10BF7"/>
    <w:rsid w:val="00E14273"/>
    <w:rsid w:val="00E16F40"/>
    <w:rsid w:val="00E17208"/>
    <w:rsid w:val="00E24FAB"/>
    <w:rsid w:val="00E25D01"/>
    <w:rsid w:val="00E26768"/>
    <w:rsid w:val="00E31529"/>
    <w:rsid w:val="00E3351B"/>
    <w:rsid w:val="00E34512"/>
    <w:rsid w:val="00E40FC2"/>
    <w:rsid w:val="00E46A77"/>
    <w:rsid w:val="00E50212"/>
    <w:rsid w:val="00E50B17"/>
    <w:rsid w:val="00E56C0A"/>
    <w:rsid w:val="00E61385"/>
    <w:rsid w:val="00E615E0"/>
    <w:rsid w:val="00E629F7"/>
    <w:rsid w:val="00E62D7A"/>
    <w:rsid w:val="00E646FB"/>
    <w:rsid w:val="00E70486"/>
    <w:rsid w:val="00E74F1E"/>
    <w:rsid w:val="00E9001E"/>
    <w:rsid w:val="00EA1994"/>
    <w:rsid w:val="00EB5741"/>
    <w:rsid w:val="00EB715C"/>
    <w:rsid w:val="00EC5656"/>
    <w:rsid w:val="00EC5C7D"/>
    <w:rsid w:val="00ED259B"/>
    <w:rsid w:val="00EE4D96"/>
    <w:rsid w:val="00EF1864"/>
    <w:rsid w:val="00EF1D7B"/>
    <w:rsid w:val="00EF6C4E"/>
    <w:rsid w:val="00F27353"/>
    <w:rsid w:val="00F34F9D"/>
    <w:rsid w:val="00F40763"/>
    <w:rsid w:val="00F42AA9"/>
    <w:rsid w:val="00F50687"/>
    <w:rsid w:val="00F50759"/>
    <w:rsid w:val="00F55940"/>
    <w:rsid w:val="00F55A0E"/>
    <w:rsid w:val="00F62C75"/>
    <w:rsid w:val="00F7113A"/>
    <w:rsid w:val="00F71C8D"/>
    <w:rsid w:val="00F721BD"/>
    <w:rsid w:val="00F7227A"/>
    <w:rsid w:val="00F73AE8"/>
    <w:rsid w:val="00F8703F"/>
    <w:rsid w:val="00F93AA3"/>
    <w:rsid w:val="00F970F9"/>
    <w:rsid w:val="00FA3363"/>
    <w:rsid w:val="00FA4EA6"/>
    <w:rsid w:val="00FA5319"/>
    <w:rsid w:val="00FA7B11"/>
    <w:rsid w:val="00FB4185"/>
    <w:rsid w:val="00FC3FB2"/>
    <w:rsid w:val="00FC4548"/>
    <w:rsid w:val="00FD0E12"/>
    <w:rsid w:val="00FD1957"/>
    <w:rsid w:val="00FD1B05"/>
    <w:rsid w:val="00FD1BCB"/>
    <w:rsid w:val="00FD3F99"/>
    <w:rsid w:val="00FD5D22"/>
    <w:rsid w:val="00FE0242"/>
    <w:rsid w:val="00FE0D6A"/>
    <w:rsid w:val="00FE2861"/>
    <w:rsid w:val="00FE3201"/>
    <w:rsid w:val="00FE4B8D"/>
    <w:rsid w:val="00FE5DA0"/>
    <w:rsid w:val="00FF04B8"/>
    <w:rsid w:val="00FF4A3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8CE8A"/>
  <w15:docId w15:val="{3328531F-2B76-4928-A3FD-78FBED5C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qFormat="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03"/>
    <w:rPr>
      <w:sz w:val="24"/>
      <w:szCs w:val="24"/>
    </w:rPr>
  </w:style>
  <w:style w:type="paragraph" w:styleId="Heading1">
    <w:name w:val="heading 1"/>
    <w:basedOn w:val="Normal"/>
    <w:next w:val="Normal"/>
    <w:link w:val="Heading1Char"/>
    <w:uiPriority w:val="99"/>
    <w:qFormat/>
    <w:rsid w:val="00145503"/>
    <w:pPr>
      <w:keepNext/>
      <w:outlineLvl w:val="0"/>
    </w:pPr>
    <w:rPr>
      <w:b/>
      <w:bCs/>
    </w:rPr>
  </w:style>
  <w:style w:type="paragraph" w:styleId="Heading2">
    <w:name w:val="heading 2"/>
    <w:basedOn w:val="Normal"/>
    <w:next w:val="Normal"/>
    <w:link w:val="Heading2Char"/>
    <w:uiPriority w:val="99"/>
    <w:qFormat/>
    <w:rsid w:val="001455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455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145503"/>
    <w:pPr>
      <w:keepNext/>
      <w:spacing w:before="100" w:after="100" w:line="360" w:lineRule="auto"/>
      <w:jc w:val="right"/>
      <w:outlineLvl w:val="3"/>
    </w:pPr>
    <w:rPr>
      <w:rFonts w:ascii="Century Schoolbook" w:hAnsi="Century Schoolbook"/>
      <w:b/>
      <w:bCs/>
      <w:i/>
      <w:iCs/>
      <w:sz w:val="28"/>
    </w:rPr>
  </w:style>
  <w:style w:type="paragraph" w:styleId="Heading5">
    <w:name w:val="heading 5"/>
    <w:basedOn w:val="Normal"/>
    <w:next w:val="Normal"/>
    <w:link w:val="Heading5Char"/>
    <w:uiPriority w:val="99"/>
    <w:qFormat/>
    <w:rsid w:val="00145503"/>
    <w:pPr>
      <w:keepNext/>
      <w:jc w:val="both"/>
      <w:outlineLvl w:val="4"/>
    </w:pPr>
    <w:rPr>
      <w:b/>
      <w:sz w:val="22"/>
    </w:rPr>
  </w:style>
  <w:style w:type="paragraph" w:styleId="Heading6">
    <w:name w:val="heading 6"/>
    <w:basedOn w:val="Normal"/>
    <w:next w:val="Normal"/>
    <w:link w:val="Heading6Char"/>
    <w:uiPriority w:val="99"/>
    <w:qFormat/>
    <w:rsid w:val="00145503"/>
    <w:pPr>
      <w:keepNext/>
      <w:tabs>
        <w:tab w:val="left" w:pos="6210"/>
      </w:tabs>
      <w:ind w:left="360"/>
      <w:jc w:val="both"/>
      <w:outlineLvl w:val="5"/>
    </w:pPr>
    <w:rPr>
      <w:b/>
    </w:rPr>
  </w:style>
  <w:style w:type="paragraph" w:styleId="Heading7">
    <w:name w:val="heading 7"/>
    <w:basedOn w:val="Normal"/>
    <w:next w:val="Normal"/>
    <w:link w:val="Heading7Char"/>
    <w:qFormat/>
    <w:rsid w:val="00145503"/>
    <w:pPr>
      <w:keepNext/>
      <w:outlineLvl w:val="6"/>
    </w:pPr>
    <w:rPr>
      <w:b/>
      <w:sz w:val="22"/>
    </w:rPr>
  </w:style>
  <w:style w:type="paragraph" w:styleId="Heading8">
    <w:name w:val="heading 8"/>
    <w:basedOn w:val="Normal"/>
    <w:next w:val="Normal"/>
    <w:link w:val="Heading8Char"/>
    <w:qFormat/>
    <w:rsid w:val="00145503"/>
    <w:pPr>
      <w:keepNext/>
      <w:spacing w:line="360" w:lineRule="auto"/>
      <w:jc w:val="center"/>
      <w:outlineLvl w:val="7"/>
    </w:pPr>
    <w:rPr>
      <w:i/>
      <w:iCs/>
      <w:sz w:val="28"/>
    </w:rPr>
  </w:style>
  <w:style w:type="paragraph" w:styleId="Heading9">
    <w:name w:val="heading 9"/>
    <w:basedOn w:val="Normal"/>
    <w:next w:val="Normal"/>
    <w:link w:val="Heading9Char"/>
    <w:qFormat/>
    <w:rsid w:val="00145503"/>
    <w:pPr>
      <w:keepNext/>
      <w:pBdr>
        <w:top w:val="single" w:sz="4" w:space="1" w:color="auto"/>
        <w:bottom w:val="single" w:sz="4" w:space="1" w:color="auto"/>
      </w:pBdr>
      <w:ind w:left="540" w:right="562"/>
      <w:jc w:val="both"/>
      <w:outlineLvl w:val="8"/>
    </w:pPr>
    <w:rPr>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90489C"/>
    <w:rPr>
      <w:b/>
      <w:bCs/>
      <w:sz w:val="24"/>
      <w:szCs w:val="24"/>
    </w:rPr>
  </w:style>
  <w:style w:type="character" w:customStyle="1" w:styleId="Heading2Char">
    <w:name w:val="Heading 2 Char"/>
    <w:basedOn w:val="DefaultParagraphFont"/>
    <w:link w:val="Heading2"/>
    <w:uiPriority w:val="9"/>
    <w:qFormat/>
    <w:rsid w:val="00C30274"/>
    <w:rPr>
      <w:rFonts w:ascii="Arial" w:hAnsi="Arial" w:cs="Arial"/>
      <w:b/>
      <w:bCs/>
      <w:i/>
      <w:iCs/>
      <w:sz w:val="28"/>
      <w:szCs w:val="28"/>
    </w:rPr>
  </w:style>
  <w:style w:type="character" w:customStyle="1" w:styleId="Heading3Char">
    <w:name w:val="Heading 3 Char"/>
    <w:basedOn w:val="DefaultParagraphFont"/>
    <w:link w:val="Heading3"/>
    <w:uiPriority w:val="99"/>
    <w:rsid w:val="00B34854"/>
    <w:rPr>
      <w:rFonts w:ascii="Arial" w:hAnsi="Arial" w:cs="Arial"/>
      <w:b/>
      <w:bCs/>
      <w:sz w:val="26"/>
      <w:szCs w:val="26"/>
    </w:rPr>
  </w:style>
  <w:style w:type="character" w:customStyle="1" w:styleId="Heading4Char">
    <w:name w:val="Heading 4 Char"/>
    <w:basedOn w:val="DefaultParagraphFont"/>
    <w:link w:val="Heading4"/>
    <w:uiPriority w:val="99"/>
    <w:rsid w:val="00B34854"/>
    <w:rPr>
      <w:rFonts w:ascii="Century Schoolbook" w:hAnsi="Century Schoolbook"/>
      <w:b/>
      <w:bCs/>
      <w:i/>
      <w:iCs/>
      <w:sz w:val="28"/>
      <w:szCs w:val="24"/>
    </w:rPr>
  </w:style>
  <w:style w:type="character" w:customStyle="1" w:styleId="Heading5Char">
    <w:name w:val="Heading 5 Char"/>
    <w:basedOn w:val="DefaultParagraphFont"/>
    <w:link w:val="Heading5"/>
    <w:uiPriority w:val="99"/>
    <w:rsid w:val="00B34854"/>
    <w:rPr>
      <w:b/>
      <w:sz w:val="22"/>
      <w:szCs w:val="24"/>
    </w:rPr>
  </w:style>
  <w:style w:type="character" w:customStyle="1" w:styleId="Heading6Char">
    <w:name w:val="Heading 6 Char"/>
    <w:basedOn w:val="DefaultParagraphFont"/>
    <w:link w:val="Heading6"/>
    <w:uiPriority w:val="99"/>
    <w:rsid w:val="00B34854"/>
    <w:rPr>
      <w:b/>
      <w:sz w:val="24"/>
      <w:szCs w:val="24"/>
    </w:rPr>
  </w:style>
  <w:style w:type="paragraph" w:styleId="BodyTextIndent">
    <w:name w:val="Body Text Indent"/>
    <w:basedOn w:val="Normal"/>
    <w:link w:val="BodyTextIndentChar"/>
    <w:rsid w:val="00145503"/>
    <w:pPr>
      <w:ind w:left="720"/>
      <w:jc w:val="both"/>
    </w:pPr>
    <w:rPr>
      <w:sz w:val="18"/>
    </w:rPr>
  </w:style>
  <w:style w:type="paragraph" w:styleId="Title">
    <w:name w:val="Title"/>
    <w:basedOn w:val="Normal"/>
    <w:link w:val="TitleChar"/>
    <w:qFormat/>
    <w:rsid w:val="00145503"/>
    <w:pPr>
      <w:jc w:val="center"/>
    </w:pPr>
    <w:rPr>
      <w:b/>
      <w:bCs/>
      <w:caps/>
      <w:sz w:val="20"/>
    </w:rPr>
  </w:style>
  <w:style w:type="paragraph" w:styleId="Header">
    <w:name w:val="header"/>
    <w:basedOn w:val="Normal"/>
    <w:link w:val="HeaderChar"/>
    <w:uiPriority w:val="99"/>
    <w:qFormat/>
    <w:rsid w:val="00145503"/>
    <w:pPr>
      <w:tabs>
        <w:tab w:val="center" w:pos="4320"/>
        <w:tab w:val="right" w:pos="8640"/>
      </w:tabs>
    </w:pPr>
  </w:style>
  <w:style w:type="character" w:customStyle="1" w:styleId="HeaderChar">
    <w:name w:val="Header Char"/>
    <w:basedOn w:val="DefaultParagraphFont"/>
    <w:link w:val="Header"/>
    <w:uiPriority w:val="99"/>
    <w:qFormat/>
    <w:rsid w:val="007F4F50"/>
    <w:rPr>
      <w:sz w:val="24"/>
      <w:szCs w:val="24"/>
    </w:rPr>
  </w:style>
  <w:style w:type="paragraph" w:styleId="Footer">
    <w:name w:val="footer"/>
    <w:aliases w:val="Char"/>
    <w:basedOn w:val="Normal"/>
    <w:link w:val="FooterChar"/>
    <w:uiPriority w:val="99"/>
    <w:qFormat/>
    <w:rsid w:val="00145503"/>
    <w:pPr>
      <w:tabs>
        <w:tab w:val="center" w:pos="4320"/>
        <w:tab w:val="right" w:pos="8640"/>
      </w:tabs>
    </w:pPr>
  </w:style>
  <w:style w:type="character" w:customStyle="1" w:styleId="FooterChar">
    <w:name w:val="Footer Char"/>
    <w:aliases w:val="Char Char1"/>
    <w:basedOn w:val="DefaultParagraphFont"/>
    <w:link w:val="Footer"/>
    <w:uiPriority w:val="99"/>
    <w:qFormat/>
    <w:rsid w:val="007F4F50"/>
    <w:rPr>
      <w:sz w:val="24"/>
      <w:szCs w:val="24"/>
    </w:rPr>
  </w:style>
  <w:style w:type="character" w:styleId="PageNumber">
    <w:name w:val="page number"/>
    <w:basedOn w:val="DefaultParagraphFont"/>
    <w:rsid w:val="00145503"/>
  </w:style>
  <w:style w:type="paragraph" w:styleId="BodyText">
    <w:name w:val="Body Text"/>
    <w:aliases w:val="bt,Body text"/>
    <w:basedOn w:val="Normal"/>
    <w:link w:val="BodyTextChar"/>
    <w:qFormat/>
    <w:rsid w:val="00145503"/>
    <w:pPr>
      <w:spacing w:after="120"/>
    </w:pPr>
  </w:style>
  <w:style w:type="character" w:customStyle="1" w:styleId="BodyTextChar">
    <w:name w:val="Body Text Char"/>
    <w:aliases w:val="bt Char,Body text Char"/>
    <w:basedOn w:val="DefaultParagraphFont"/>
    <w:link w:val="BodyText"/>
    <w:qFormat/>
    <w:rsid w:val="0090489C"/>
    <w:rPr>
      <w:sz w:val="24"/>
      <w:szCs w:val="24"/>
    </w:rPr>
  </w:style>
  <w:style w:type="paragraph" w:styleId="BodyText2">
    <w:name w:val="Body Text 2"/>
    <w:basedOn w:val="Normal"/>
    <w:link w:val="BodyText2Char"/>
    <w:qFormat/>
    <w:rsid w:val="00145503"/>
    <w:pPr>
      <w:spacing w:after="120" w:line="480" w:lineRule="auto"/>
    </w:pPr>
  </w:style>
  <w:style w:type="paragraph" w:styleId="BodyText3">
    <w:name w:val="Body Text 3"/>
    <w:basedOn w:val="Normal"/>
    <w:link w:val="BodyText3Char"/>
    <w:rsid w:val="00145503"/>
    <w:pPr>
      <w:spacing w:after="120"/>
    </w:pPr>
    <w:rPr>
      <w:sz w:val="16"/>
      <w:szCs w:val="16"/>
    </w:rPr>
  </w:style>
  <w:style w:type="paragraph" w:styleId="BodyTextIndent2">
    <w:name w:val="Body Text Indent 2"/>
    <w:basedOn w:val="Normal"/>
    <w:link w:val="BodyTextIndent2Char"/>
    <w:rsid w:val="00145503"/>
    <w:pPr>
      <w:spacing w:after="120" w:line="480" w:lineRule="auto"/>
      <w:ind w:left="360"/>
    </w:pPr>
  </w:style>
  <w:style w:type="paragraph" w:styleId="BodyTextIndent3">
    <w:name w:val="Body Text Indent 3"/>
    <w:basedOn w:val="Normal"/>
    <w:link w:val="BodyTextIndent3Char"/>
    <w:rsid w:val="00145503"/>
    <w:pPr>
      <w:spacing w:before="60" w:after="60" w:line="360" w:lineRule="auto"/>
      <w:ind w:left="360" w:hanging="360"/>
      <w:jc w:val="both"/>
    </w:pPr>
    <w:rPr>
      <w:rFonts w:ascii="Century Schoolbook" w:hAnsi="Century Schoolbook"/>
    </w:rPr>
  </w:style>
  <w:style w:type="character" w:styleId="Hyperlink">
    <w:name w:val="Hyperlink"/>
    <w:basedOn w:val="DefaultParagraphFont"/>
    <w:uiPriority w:val="99"/>
    <w:qFormat/>
    <w:rsid w:val="00145503"/>
    <w:rPr>
      <w:color w:val="0000FF"/>
      <w:u w:val="single"/>
    </w:rPr>
  </w:style>
  <w:style w:type="paragraph" w:customStyle="1" w:styleId="a">
    <w:name w:val=".."/>
    <w:basedOn w:val="Default"/>
    <w:next w:val="Default"/>
    <w:rsid w:val="00145503"/>
    <w:rPr>
      <w:color w:val="auto"/>
    </w:rPr>
  </w:style>
  <w:style w:type="paragraph" w:customStyle="1" w:styleId="Default">
    <w:name w:val="Default"/>
    <w:qFormat/>
    <w:rsid w:val="00145503"/>
    <w:pPr>
      <w:autoSpaceDE w:val="0"/>
      <w:autoSpaceDN w:val="0"/>
      <w:adjustRightInd w:val="0"/>
    </w:pPr>
    <w:rPr>
      <w:rFonts w:eastAsia="SimSun"/>
      <w:color w:val="000000"/>
      <w:sz w:val="24"/>
      <w:szCs w:val="24"/>
      <w:lang w:eastAsia="zh-CN"/>
    </w:rPr>
  </w:style>
  <w:style w:type="character" w:styleId="FollowedHyperlink">
    <w:name w:val="FollowedHyperlink"/>
    <w:basedOn w:val="DefaultParagraphFont"/>
    <w:qFormat/>
    <w:rsid w:val="00145503"/>
    <w:rPr>
      <w:color w:val="800080"/>
      <w:u w:val="single"/>
    </w:rPr>
  </w:style>
  <w:style w:type="paragraph" w:styleId="BlockText">
    <w:name w:val="Block Text"/>
    <w:basedOn w:val="Normal"/>
    <w:rsid w:val="00145503"/>
    <w:pPr>
      <w:ind w:left="540" w:right="562"/>
      <w:jc w:val="both"/>
    </w:pPr>
    <w:rPr>
      <w:b/>
      <w:bCs/>
      <w:szCs w:val="28"/>
    </w:rPr>
  </w:style>
  <w:style w:type="paragraph" w:styleId="NormalWeb">
    <w:name w:val="Normal (Web)"/>
    <w:basedOn w:val="Normal"/>
    <w:uiPriority w:val="99"/>
    <w:qFormat/>
    <w:rsid w:val="00145503"/>
    <w:pPr>
      <w:spacing w:before="100" w:beforeAutospacing="1" w:after="100" w:afterAutospacing="1"/>
    </w:pPr>
  </w:style>
  <w:style w:type="character" w:customStyle="1" w:styleId="texhtml">
    <w:name w:val="texhtml"/>
    <w:basedOn w:val="DefaultParagraphFont"/>
    <w:rsid w:val="00145503"/>
  </w:style>
  <w:style w:type="paragraph" w:styleId="CommentText">
    <w:name w:val="annotation text"/>
    <w:basedOn w:val="Normal"/>
    <w:link w:val="CommentTextChar"/>
    <w:uiPriority w:val="99"/>
    <w:semiHidden/>
    <w:qFormat/>
    <w:rsid w:val="00145503"/>
    <w:rPr>
      <w:sz w:val="20"/>
      <w:szCs w:val="20"/>
    </w:rPr>
  </w:style>
  <w:style w:type="character" w:customStyle="1" w:styleId="CommentTextChar">
    <w:name w:val="Comment Text Char"/>
    <w:basedOn w:val="DefaultParagraphFont"/>
    <w:link w:val="CommentText"/>
    <w:uiPriority w:val="99"/>
    <w:semiHidden/>
    <w:qFormat/>
    <w:rsid w:val="00D1606C"/>
  </w:style>
  <w:style w:type="paragraph" w:styleId="Caption">
    <w:name w:val="caption"/>
    <w:basedOn w:val="Normal"/>
    <w:next w:val="Normal"/>
    <w:uiPriority w:val="35"/>
    <w:qFormat/>
    <w:rsid w:val="00145503"/>
    <w:pPr>
      <w:spacing w:line="360" w:lineRule="auto"/>
      <w:jc w:val="both"/>
    </w:pPr>
    <w:rPr>
      <w:b/>
      <w:bCs/>
      <w:szCs w:val="22"/>
    </w:rPr>
  </w:style>
  <w:style w:type="paragraph" w:styleId="PlainText">
    <w:name w:val="Plain Text"/>
    <w:basedOn w:val="Normal"/>
    <w:link w:val="PlainTextChar"/>
    <w:rsid w:val="00145503"/>
    <w:rPr>
      <w:rFonts w:ascii="Courier New" w:hAnsi="Courier New"/>
      <w:sz w:val="20"/>
      <w:szCs w:val="20"/>
    </w:rPr>
  </w:style>
  <w:style w:type="paragraph" w:customStyle="1" w:styleId="CM12">
    <w:name w:val="CM12"/>
    <w:basedOn w:val="Default"/>
    <w:next w:val="Default"/>
    <w:rsid w:val="00145503"/>
    <w:pPr>
      <w:widowControl w:val="0"/>
    </w:pPr>
    <w:rPr>
      <w:rFonts w:ascii="ZapfHumnst BT" w:eastAsia="Times New Roman" w:hAnsi="ZapfHumnst BT"/>
      <w:color w:val="auto"/>
      <w:lang w:eastAsia="en-US"/>
    </w:rPr>
  </w:style>
  <w:style w:type="paragraph" w:customStyle="1" w:styleId="Normaljustify">
    <w:name w:val="Normal + justify"/>
    <w:basedOn w:val="Normal"/>
    <w:rsid w:val="00145503"/>
    <w:rPr>
      <w:rFonts w:eastAsia="MS Mincho"/>
      <w:lang w:val="en-GB" w:eastAsia="ja-JP"/>
    </w:rPr>
  </w:style>
  <w:style w:type="character" w:customStyle="1" w:styleId="aps-heading1">
    <w:name w:val="aps-heading1"/>
    <w:basedOn w:val="DefaultParagraphFont"/>
    <w:rsid w:val="00145503"/>
    <w:rPr>
      <w:b/>
      <w:bCs/>
      <w:sz w:val="26"/>
      <w:szCs w:val="26"/>
    </w:rPr>
  </w:style>
  <w:style w:type="paragraph" w:styleId="FootnoteText">
    <w:name w:val="footnote text"/>
    <w:basedOn w:val="Normal"/>
    <w:link w:val="FootnoteTextChar1"/>
    <w:semiHidden/>
    <w:rsid w:val="00145503"/>
    <w:rPr>
      <w:sz w:val="20"/>
      <w:szCs w:val="20"/>
    </w:rPr>
  </w:style>
  <w:style w:type="paragraph" w:styleId="EndnoteText">
    <w:name w:val="endnote text"/>
    <w:basedOn w:val="Normal"/>
    <w:link w:val="EndnoteTextChar"/>
    <w:semiHidden/>
    <w:rsid w:val="00145503"/>
    <w:rPr>
      <w:sz w:val="20"/>
      <w:szCs w:val="20"/>
    </w:rPr>
  </w:style>
  <w:style w:type="character" w:styleId="EndnoteReference">
    <w:name w:val="endnote reference"/>
    <w:basedOn w:val="DefaultParagraphFont"/>
    <w:semiHidden/>
    <w:rsid w:val="00145503"/>
    <w:rPr>
      <w:vertAlign w:val="superscript"/>
    </w:rPr>
  </w:style>
  <w:style w:type="character" w:customStyle="1" w:styleId="yshortcuts">
    <w:name w:val="yshortcuts"/>
    <w:basedOn w:val="DefaultParagraphFont"/>
    <w:rsid w:val="00145503"/>
  </w:style>
  <w:style w:type="character" w:styleId="FootnoteReference">
    <w:name w:val="footnote reference"/>
    <w:basedOn w:val="DefaultParagraphFont"/>
    <w:semiHidden/>
    <w:rsid w:val="00145503"/>
    <w:rPr>
      <w:vertAlign w:val="superscript"/>
    </w:rPr>
  </w:style>
  <w:style w:type="paragraph" w:styleId="List">
    <w:name w:val="List"/>
    <w:basedOn w:val="Normal"/>
    <w:rsid w:val="00145503"/>
    <w:pPr>
      <w:ind w:left="360" w:hanging="360"/>
    </w:pPr>
  </w:style>
  <w:style w:type="paragraph" w:styleId="Salutation">
    <w:name w:val="Salutation"/>
    <w:basedOn w:val="Normal"/>
    <w:next w:val="Normal"/>
    <w:rsid w:val="00145503"/>
  </w:style>
  <w:style w:type="paragraph" w:styleId="Closing">
    <w:name w:val="Closing"/>
    <w:basedOn w:val="Normal"/>
    <w:rsid w:val="00145503"/>
    <w:pPr>
      <w:ind w:left="4320"/>
    </w:pPr>
  </w:style>
  <w:style w:type="paragraph" w:customStyle="1" w:styleId="InsideAddress">
    <w:name w:val="Inside Address"/>
    <w:basedOn w:val="Normal"/>
    <w:rsid w:val="00145503"/>
  </w:style>
  <w:style w:type="paragraph" w:styleId="Signature">
    <w:name w:val="Signature"/>
    <w:basedOn w:val="Normal"/>
    <w:rsid w:val="00145503"/>
    <w:pPr>
      <w:ind w:left="4320"/>
    </w:pPr>
  </w:style>
  <w:style w:type="character" w:styleId="CommentReference">
    <w:name w:val="annotation reference"/>
    <w:basedOn w:val="DefaultParagraphFont"/>
    <w:uiPriority w:val="99"/>
    <w:qFormat/>
    <w:rsid w:val="00145503"/>
    <w:rPr>
      <w:sz w:val="16"/>
      <w:szCs w:val="16"/>
    </w:rPr>
  </w:style>
  <w:style w:type="character" w:customStyle="1" w:styleId="jrnl">
    <w:name w:val="jrnl"/>
    <w:basedOn w:val="DefaultParagraphFont"/>
    <w:rsid w:val="00145503"/>
  </w:style>
  <w:style w:type="character" w:customStyle="1" w:styleId="pseudotab2">
    <w:name w:val="pseudotab2"/>
    <w:basedOn w:val="DefaultParagraphFont"/>
    <w:rsid w:val="00145503"/>
  </w:style>
  <w:style w:type="character" w:styleId="Strong">
    <w:name w:val="Strong"/>
    <w:basedOn w:val="DefaultParagraphFont"/>
    <w:uiPriority w:val="22"/>
    <w:qFormat/>
    <w:rsid w:val="00145503"/>
    <w:rPr>
      <w:b/>
      <w:bCs/>
    </w:rPr>
  </w:style>
  <w:style w:type="paragraph" w:styleId="BalloonText">
    <w:name w:val="Balloon Text"/>
    <w:basedOn w:val="Normal"/>
    <w:link w:val="BalloonTextChar"/>
    <w:uiPriority w:val="99"/>
    <w:unhideWhenUsed/>
    <w:qFormat/>
    <w:rsid w:val="0090489C"/>
    <w:rPr>
      <w:rFonts w:ascii="Tahoma" w:hAnsi="Tahoma"/>
      <w:sz w:val="16"/>
      <w:szCs w:val="16"/>
    </w:rPr>
  </w:style>
  <w:style w:type="character" w:customStyle="1" w:styleId="BalloonTextChar">
    <w:name w:val="Balloon Text Char"/>
    <w:basedOn w:val="DefaultParagraphFont"/>
    <w:link w:val="BalloonText"/>
    <w:uiPriority w:val="99"/>
    <w:qFormat/>
    <w:rsid w:val="0090489C"/>
    <w:rPr>
      <w:rFonts w:ascii="Tahoma" w:hAnsi="Tahoma"/>
      <w:sz w:val="16"/>
      <w:szCs w:val="16"/>
    </w:rPr>
  </w:style>
  <w:style w:type="table" w:styleId="TableGrid">
    <w:name w:val="Table Grid"/>
    <w:basedOn w:val="TableNormal"/>
    <w:uiPriority w:val="39"/>
    <w:qFormat/>
    <w:rsid w:val="007F4F5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7F4F50"/>
    <w:pPr>
      <w:spacing w:after="200" w:line="276" w:lineRule="auto"/>
      <w:ind w:left="720"/>
      <w:contextualSpacing/>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qFormat/>
    <w:rsid w:val="007F4F50"/>
    <w:rPr>
      <w:color w:val="808080"/>
    </w:rPr>
  </w:style>
  <w:style w:type="paragraph" w:styleId="DocumentMap">
    <w:name w:val="Document Map"/>
    <w:basedOn w:val="Normal"/>
    <w:link w:val="DocumentMapChar"/>
    <w:uiPriority w:val="99"/>
    <w:unhideWhenUsed/>
    <w:rsid w:val="007F4F50"/>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7F4F50"/>
    <w:rPr>
      <w:rFonts w:ascii="Tahoma" w:eastAsiaTheme="minorEastAsia" w:hAnsi="Tahoma" w:cs="Tahoma"/>
      <w:sz w:val="16"/>
      <w:szCs w:val="16"/>
    </w:rPr>
  </w:style>
  <w:style w:type="table" w:customStyle="1" w:styleId="GridTable1Light1">
    <w:name w:val="Grid Table 1 Light1"/>
    <w:basedOn w:val="TableNormal"/>
    <w:uiPriority w:val="46"/>
    <w:rsid w:val="00122EE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55078"/>
    <w:rPr>
      <w:rFonts w:asciiTheme="minorHAnsi" w:eastAsiaTheme="minorEastAsia" w:hAnsiTheme="minorHAnsi" w:cstheme="minorBidi"/>
      <w:sz w:val="22"/>
      <w:szCs w:val="22"/>
    </w:rPr>
  </w:style>
  <w:style w:type="character" w:customStyle="1" w:styleId="productdetail-authorsmain">
    <w:name w:val="productdetail-authorsmain"/>
    <w:basedOn w:val="DefaultParagraphFont"/>
    <w:rsid w:val="00A55078"/>
  </w:style>
  <w:style w:type="paragraph" w:customStyle="1" w:styleId="MTDisplayEquation">
    <w:name w:val="MTDisplayEquation"/>
    <w:basedOn w:val="Normal"/>
    <w:next w:val="Normal"/>
    <w:link w:val="MTDisplayEquationChar"/>
    <w:rsid w:val="00381392"/>
    <w:pPr>
      <w:tabs>
        <w:tab w:val="center" w:pos="4520"/>
        <w:tab w:val="right" w:pos="9020"/>
      </w:tabs>
      <w:autoSpaceDE w:val="0"/>
      <w:autoSpaceDN w:val="0"/>
      <w:adjustRightInd w:val="0"/>
    </w:pPr>
    <w:rPr>
      <w:rFonts w:eastAsiaTheme="minorEastAsia"/>
      <w:sz w:val="32"/>
      <w:szCs w:val="32"/>
    </w:rPr>
  </w:style>
  <w:style w:type="character" w:customStyle="1" w:styleId="MTDisplayEquationChar">
    <w:name w:val="MTDisplayEquation Char"/>
    <w:basedOn w:val="DefaultParagraphFont"/>
    <w:link w:val="MTDisplayEquation"/>
    <w:rsid w:val="00381392"/>
    <w:rPr>
      <w:rFonts w:eastAsiaTheme="minorEastAsia"/>
      <w:sz w:val="32"/>
      <w:szCs w:val="32"/>
    </w:rPr>
  </w:style>
  <w:style w:type="character" w:customStyle="1" w:styleId="mwe-math-mathml-inline">
    <w:name w:val="mwe-math-mathml-inline"/>
    <w:basedOn w:val="DefaultParagraphFont"/>
    <w:rsid w:val="00381392"/>
  </w:style>
  <w:style w:type="character" w:styleId="Emphasis">
    <w:name w:val="Emphasis"/>
    <w:basedOn w:val="DefaultParagraphFont"/>
    <w:uiPriority w:val="20"/>
    <w:qFormat/>
    <w:rsid w:val="00B74269"/>
    <w:rPr>
      <w:i/>
      <w:iCs/>
    </w:rPr>
  </w:style>
  <w:style w:type="paragraph" w:styleId="HTMLPreformatted">
    <w:name w:val="HTML Preformatted"/>
    <w:basedOn w:val="Normal"/>
    <w:link w:val="HTMLPreformattedChar"/>
    <w:uiPriority w:val="99"/>
    <w:unhideWhenUsed/>
    <w:qFormat/>
    <w:rsid w:val="00C30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C30274"/>
    <w:rPr>
      <w:rFonts w:ascii="Courier New" w:hAnsi="Courier New" w:cs="Courier New"/>
    </w:rPr>
  </w:style>
  <w:style w:type="character" w:styleId="LineNumber">
    <w:name w:val="line number"/>
    <w:basedOn w:val="DefaultParagraphFont"/>
    <w:uiPriority w:val="99"/>
    <w:unhideWhenUsed/>
    <w:rsid w:val="00C30274"/>
  </w:style>
  <w:style w:type="character" w:customStyle="1" w:styleId="tooltip">
    <w:name w:val="tooltip"/>
    <w:basedOn w:val="DefaultParagraphFont"/>
    <w:qFormat/>
    <w:rsid w:val="00C30274"/>
  </w:style>
  <w:style w:type="character" w:customStyle="1" w:styleId="gnkrckgcgsb">
    <w:name w:val="gnkrckgcgsb"/>
    <w:basedOn w:val="DefaultParagraphFont"/>
    <w:qFormat/>
    <w:rsid w:val="00C30274"/>
  </w:style>
  <w:style w:type="paragraph" w:customStyle="1" w:styleId="z-TopofForm1">
    <w:name w:val="z-Top of Form1"/>
    <w:basedOn w:val="Normal"/>
    <w:next w:val="Normal"/>
    <w:link w:val="z-TopofFormChar"/>
    <w:uiPriority w:val="99"/>
    <w:semiHidden/>
    <w:unhideWhenUsed/>
    <w:qFormat/>
    <w:rsid w:val="00C3027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sid w:val="00C30274"/>
    <w:rPr>
      <w:rFonts w:ascii="Arial"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C3027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qFormat/>
    <w:rsid w:val="00C30274"/>
    <w:rPr>
      <w:rFonts w:ascii="Arial" w:hAnsi="Arial" w:cs="Arial"/>
      <w:vanish/>
      <w:sz w:val="16"/>
      <w:szCs w:val="16"/>
    </w:rPr>
  </w:style>
  <w:style w:type="table" w:customStyle="1" w:styleId="PlainTable21">
    <w:name w:val="Plain Table 21"/>
    <w:basedOn w:val="TableNormal"/>
    <w:uiPriority w:val="42"/>
    <w:qFormat/>
    <w:rsid w:val="00C30274"/>
    <w:rPr>
      <w:rFonts w:eastAsia="SimSun"/>
      <w:lang w:val="en-SG" w:eastAsia="en-SG"/>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ojvnm2t">
    <w:name w:val="tojvnm2t"/>
    <w:basedOn w:val="DefaultParagraphFont"/>
    <w:qFormat/>
    <w:rsid w:val="00C30274"/>
  </w:style>
  <w:style w:type="character" w:customStyle="1" w:styleId="linkify">
    <w:name w:val="linkify"/>
    <w:basedOn w:val="DefaultParagraphFont"/>
    <w:rsid w:val="00743B83"/>
  </w:style>
  <w:style w:type="character" w:customStyle="1" w:styleId="hgkelc">
    <w:name w:val="hgkelc"/>
    <w:basedOn w:val="DefaultParagraphFont"/>
    <w:rsid w:val="00743B83"/>
  </w:style>
  <w:style w:type="character" w:customStyle="1" w:styleId="markedcontent">
    <w:name w:val="markedcontent"/>
    <w:basedOn w:val="DefaultParagraphFont"/>
    <w:rsid w:val="00743B83"/>
  </w:style>
  <w:style w:type="character" w:customStyle="1" w:styleId="citation">
    <w:name w:val="citation"/>
    <w:basedOn w:val="DefaultParagraphFont"/>
    <w:rsid w:val="00743B83"/>
  </w:style>
  <w:style w:type="character" w:customStyle="1" w:styleId="reference">
    <w:name w:val="reference"/>
    <w:basedOn w:val="DefaultParagraphFont"/>
    <w:rsid w:val="00743B83"/>
  </w:style>
  <w:style w:type="character" w:customStyle="1" w:styleId="mjxassistivemathml">
    <w:name w:val="mjx_assistive_mathml"/>
    <w:basedOn w:val="DefaultParagraphFont"/>
    <w:rsid w:val="00D1606C"/>
  </w:style>
  <w:style w:type="paragraph" w:styleId="CommentSubject">
    <w:name w:val="annotation subject"/>
    <w:basedOn w:val="CommentText"/>
    <w:next w:val="CommentText"/>
    <w:link w:val="CommentSubjectChar"/>
    <w:uiPriority w:val="99"/>
    <w:unhideWhenUsed/>
    <w:rsid w:val="00D1606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qFormat/>
    <w:rsid w:val="00D1606C"/>
    <w:rPr>
      <w:rFonts w:asciiTheme="minorHAnsi" w:eastAsiaTheme="minorHAnsi" w:hAnsiTheme="minorHAnsi" w:cstheme="minorBidi"/>
      <w:b/>
      <w:bCs/>
    </w:rPr>
  </w:style>
  <w:style w:type="table" w:customStyle="1" w:styleId="TableGrid1">
    <w:name w:val="Table Grid1"/>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7018"/>
    <w:rPr>
      <w:rFonts w:asciiTheme="minorHAnsi" w:eastAsiaTheme="minorHAnsi" w:hAnsiTheme="minorHAnsi" w:cstheme="minorBidi"/>
      <w:sz w:val="22"/>
      <w:szCs w:val="22"/>
    </w:rPr>
  </w:style>
  <w:style w:type="character" w:customStyle="1" w:styleId="fontstyle01">
    <w:name w:val="fontstyle01"/>
    <w:basedOn w:val="DefaultParagraphFont"/>
    <w:rsid w:val="00B34854"/>
    <w:rPr>
      <w:rFonts w:ascii="CMR10" w:hAnsi="CMR10" w:hint="default"/>
      <w:b w:val="0"/>
      <w:bCs w:val="0"/>
      <w:i w:val="0"/>
      <w:iCs w:val="0"/>
      <w:color w:val="000000"/>
      <w:sz w:val="20"/>
      <w:szCs w:val="20"/>
    </w:rPr>
  </w:style>
  <w:style w:type="paragraph" w:styleId="TOCHeading">
    <w:name w:val="TOC Heading"/>
    <w:basedOn w:val="Heading1"/>
    <w:next w:val="Normal"/>
    <w:unhideWhenUsed/>
    <w:qFormat/>
    <w:rsid w:val="000272AD"/>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nhideWhenUsed/>
    <w:rsid w:val="000272AD"/>
    <w:pPr>
      <w:spacing w:before="360" w:after="360"/>
    </w:pPr>
    <w:rPr>
      <w:rFonts w:asciiTheme="minorHAnsi" w:eastAsiaTheme="minorHAnsi" w:hAnsiTheme="minorHAnsi" w:cstheme="minorBidi"/>
      <w:b/>
      <w:bCs/>
      <w:caps/>
      <w:sz w:val="22"/>
      <w:szCs w:val="22"/>
      <w:u w:val="single"/>
    </w:rPr>
  </w:style>
  <w:style w:type="paragraph" w:styleId="TOC2">
    <w:name w:val="toc 2"/>
    <w:basedOn w:val="Normal"/>
    <w:next w:val="Normal"/>
    <w:autoRedefine/>
    <w:unhideWhenUsed/>
    <w:rsid w:val="000272AD"/>
    <w:rPr>
      <w:rFonts w:asciiTheme="minorHAnsi" w:eastAsiaTheme="minorHAnsi" w:hAnsiTheme="minorHAnsi" w:cstheme="minorBidi"/>
      <w:b/>
      <w:bCs/>
      <w:smallCaps/>
      <w:sz w:val="22"/>
      <w:szCs w:val="22"/>
    </w:rPr>
  </w:style>
  <w:style w:type="paragraph" w:styleId="TOC3">
    <w:name w:val="toc 3"/>
    <w:basedOn w:val="Normal"/>
    <w:next w:val="Normal"/>
    <w:autoRedefine/>
    <w:unhideWhenUsed/>
    <w:rsid w:val="000272AD"/>
    <w:rPr>
      <w:rFonts w:asciiTheme="minorHAnsi" w:eastAsiaTheme="minorHAnsi" w:hAnsiTheme="minorHAnsi" w:cstheme="minorBidi"/>
      <w:smallCaps/>
      <w:sz w:val="22"/>
      <w:szCs w:val="22"/>
    </w:rPr>
  </w:style>
  <w:style w:type="paragraph" w:styleId="TOC4">
    <w:name w:val="toc 4"/>
    <w:basedOn w:val="Normal"/>
    <w:next w:val="Normal"/>
    <w:autoRedefine/>
    <w:unhideWhenUsed/>
    <w:rsid w:val="000272AD"/>
    <w:rPr>
      <w:rFonts w:asciiTheme="minorHAnsi" w:eastAsiaTheme="minorHAnsi" w:hAnsiTheme="minorHAnsi" w:cstheme="minorBidi"/>
      <w:sz w:val="22"/>
      <w:szCs w:val="22"/>
    </w:rPr>
  </w:style>
  <w:style w:type="paragraph" w:styleId="TOC5">
    <w:name w:val="toc 5"/>
    <w:basedOn w:val="Normal"/>
    <w:next w:val="Normal"/>
    <w:autoRedefine/>
    <w:unhideWhenUsed/>
    <w:rsid w:val="000272AD"/>
    <w:rPr>
      <w:rFonts w:asciiTheme="minorHAnsi" w:eastAsiaTheme="minorHAnsi" w:hAnsiTheme="minorHAnsi" w:cstheme="minorBidi"/>
      <w:sz w:val="22"/>
      <w:szCs w:val="22"/>
    </w:rPr>
  </w:style>
  <w:style w:type="paragraph" w:styleId="TOC6">
    <w:name w:val="toc 6"/>
    <w:basedOn w:val="Normal"/>
    <w:next w:val="Normal"/>
    <w:autoRedefine/>
    <w:unhideWhenUsed/>
    <w:rsid w:val="000272AD"/>
    <w:rPr>
      <w:rFonts w:asciiTheme="minorHAnsi" w:eastAsiaTheme="minorHAnsi" w:hAnsiTheme="minorHAnsi" w:cstheme="minorBidi"/>
      <w:sz w:val="22"/>
      <w:szCs w:val="22"/>
    </w:rPr>
  </w:style>
  <w:style w:type="paragraph" w:styleId="TOC7">
    <w:name w:val="toc 7"/>
    <w:basedOn w:val="Normal"/>
    <w:next w:val="Normal"/>
    <w:autoRedefine/>
    <w:unhideWhenUsed/>
    <w:rsid w:val="000272AD"/>
    <w:rPr>
      <w:rFonts w:asciiTheme="minorHAnsi" w:eastAsiaTheme="minorHAnsi" w:hAnsiTheme="minorHAnsi" w:cstheme="minorBidi"/>
      <w:sz w:val="22"/>
      <w:szCs w:val="22"/>
    </w:rPr>
  </w:style>
  <w:style w:type="paragraph" w:styleId="TOC8">
    <w:name w:val="toc 8"/>
    <w:basedOn w:val="Normal"/>
    <w:next w:val="Normal"/>
    <w:autoRedefine/>
    <w:unhideWhenUsed/>
    <w:rsid w:val="000272AD"/>
    <w:rPr>
      <w:rFonts w:asciiTheme="minorHAnsi" w:eastAsiaTheme="minorHAnsi" w:hAnsiTheme="minorHAnsi" w:cstheme="minorBidi"/>
      <w:sz w:val="22"/>
      <w:szCs w:val="22"/>
    </w:rPr>
  </w:style>
  <w:style w:type="paragraph" w:styleId="TOC9">
    <w:name w:val="toc 9"/>
    <w:basedOn w:val="Normal"/>
    <w:next w:val="Normal"/>
    <w:autoRedefine/>
    <w:unhideWhenUsed/>
    <w:rsid w:val="000272AD"/>
    <w:rPr>
      <w:rFonts w:asciiTheme="minorHAnsi" w:eastAsiaTheme="minorHAnsi" w:hAnsiTheme="minorHAnsi" w:cstheme="minorBidi"/>
      <w:sz w:val="22"/>
      <w:szCs w:val="22"/>
    </w:rPr>
  </w:style>
  <w:style w:type="character" w:customStyle="1" w:styleId="sc-prorn">
    <w:name w:val="sc-prorn"/>
    <w:basedOn w:val="DefaultParagraphFont"/>
    <w:rsid w:val="000272AD"/>
  </w:style>
  <w:style w:type="character" w:customStyle="1" w:styleId="sc-provx">
    <w:name w:val="sc-provx"/>
    <w:basedOn w:val="DefaultParagraphFont"/>
    <w:rsid w:val="000272AD"/>
  </w:style>
  <w:style w:type="character" w:customStyle="1" w:styleId="apple-converted-space">
    <w:name w:val="apple-converted-space"/>
    <w:basedOn w:val="DefaultParagraphFont"/>
    <w:rsid w:val="000272AD"/>
  </w:style>
  <w:style w:type="character" w:customStyle="1" w:styleId="Heading7Char">
    <w:name w:val="Heading 7 Char"/>
    <w:basedOn w:val="DefaultParagraphFont"/>
    <w:link w:val="Heading7"/>
    <w:qFormat/>
    <w:rsid w:val="008E3599"/>
    <w:rPr>
      <w:b/>
      <w:sz w:val="22"/>
      <w:szCs w:val="24"/>
    </w:rPr>
  </w:style>
  <w:style w:type="character" w:customStyle="1" w:styleId="ListParagraphChar">
    <w:name w:val="List Paragraph Char"/>
    <w:link w:val="ListParagraph"/>
    <w:uiPriority w:val="34"/>
    <w:qFormat/>
    <w:rsid w:val="008E3599"/>
    <w:rPr>
      <w:rFonts w:asciiTheme="minorHAnsi" w:eastAsiaTheme="minorEastAsia" w:hAnsiTheme="minorHAnsi" w:cstheme="minorBidi"/>
      <w:sz w:val="22"/>
      <w:szCs w:val="22"/>
    </w:rPr>
  </w:style>
  <w:style w:type="character" w:customStyle="1" w:styleId="highlight">
    <w:name w:val="highlight"/>
    <w:basedOn w:val="DefaultParagraphFont"/>
    <w:qFormat/>
    <w:rsid w:val="008E3599"/>
  </w:style>
  <w:style w:type="character" w:customStyle="1" w:styleId="BalloonTextChar1">
    <w:name w:val="Balloon Text Char1"/>
    <w:aliases w:val="Char Char2 Char1,Char Char21 Char1,Char Char211 Char1"/>
    <w:basedOn w:val="DefaultParagraphFont"/>
    <w:qFormat/>
    <w:rsid w:val="008E3599"/>
    <w:rPr>
      <w:rFonts w:ascii="Tahoma" w:hAnsi="Tahoma" w:cs="Tahoma"/>
      <w:sz w:val="16"/>
      <w:szCs w:val="16"/>
    </w:rPr>
  </w:style>
  <w:style w:type="character" w:customStyle="1" w:styleId="BodyText2Char">
    <w:name w:val="Body Text 2 Char"/>
    <w:basedOn w:val="DefaultParagraphFont"/>
    <w:link w:val="BodyText2"/>
    <w:qFormat/>
    <w:rsid w:val="008E3599"/>
    <w:rPr>
      <w:sz w:val="24"/>
      <w:szCs w:val="24"/>
    </w:rPr>
  </w:style>
  <w:style w:type="character" w:customStyle="1" w:styleId="normaltext">
    <w:name w:val="normaltext"/>
    <w:basedOn w:val="DefaultParagraphFont"/>
    <w:qFormat/>
    <w:rsid w:val="008E3599"/>
  </w:style>
  <w:style w:type="paragraph" w:customStyle="1" w:styleId="Revision1">
    <w:name w:val="Revision1"/>
    <w:hidden/>
    <w:uiPriority w:val="99"/>
    <w:semiHidden/>
    <w:qFormat/>
    <w:rsid w:val="008E3599"/>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qFormat/>
    <w:rsid w:val="008E3599"/>
    <w:rPr>
      <w:color w:val="605E5C"/>
      <w:shd w:val="clear" w:color="auto" w:fill="E1DFDD"/>
    </w:rPr>
  </w:style>
  <w:style w:type="character" w:customStyle="1" w:styleId="disblock">
    <w:name w:val="disblock"/>
    <w:basedOn w:val="DefaultParagraphFont"/>
    <w:qFormat/>
    <w:rsid w:val="008E3599"/>
  </w:style>
  <w:style w:type="character" w:customStyle="1" w:styleId="cls-response">
    <w:name w:val="cls-response"/>
    <w:basedOn w:val="DefaultParagraphFont"/>
    <w:qFormat/>
    <w:rsid w:val="008E3599"/>
  </w:style>
  <w:style w:type="numbering" w:customStyle="1" w:styleId="NoList1">
    <w:name w:val="No List1"/>
    <w:next w:val="NoList"/>
    <w:uiPriority w:val="99"/>
    <w:semiHidden/>
    <w:unhideWhenUsed/>
    <w:rsid w:val="008E3599"/>
  </w:style>
  <w:style w:type="character" w:customStyle="1" w:styleId="Heading8Char">
    <w:name w:val="Heading 8 Char"/>
    <w:basedOn w:val="DefaultParagraphFont"/>
    <w:link w:val="Heading8"/>
    <w:locked/>
    <w:rsid w:val="008E3599"/>
    <w:rPr>
      <w:i/>
      <w:iCs/>
      <w:sz w:val="28"/>
      <w:szCs w:val="24"/>
    </w:rPr>
  </w:style>
  <w:style w:type="character" w:customStyle="1" w:styleId="Heading9Char">
    <w:name w:val="Heading 9 Char"/>
    <w:basedOn w:val="DefaultParagraphFont"/>
    <w:link w:val="Heading9"/>
    <w:locked/>
    <w:rsid w:val="008E3599"/>
    <w:rPr>
      <w:b/>
      <w:szCs w:val="28"/>
    </w:rPr>
  </w:style>
  <w:style w:type="character" w:customStyle="1" w:styleId="FootnoteTextChar">
    <w:name w:val="Footnote Text Char"/>
    <w:basedOn w:val="DefaultParagraphFont"/>
    <w:semiHidden/>
    <w:locked/>
    <w:rsid w:val="008E3599"/>
    <w:rPr>
      <w:rFonts w:cs="Times New Roman"/>
      <w:sz w:val="20"/>
      <w:szCs w:val="20"/>
    </w:rPr>
  </w:style>
  <w:style w:type="character" w:customStyle="1" w:styleId="FooterChar1">
    <w:name w:val="Footer Char1"/>
    <w:aliases w:val="Char Char"/>
    <w:basedOn w:val="DefaultParagraphFont"/>
    <w:locked/>
    <w:rsid w:val="008E3599"/>
    <w:rPr>
      <w:rFonts w:cs="Times New Roman"/>
    </w:rPr>
  </w:style>
  <w:style w:type="character" w:customStyle="1" w:styleId="EndnoteTextChar">
    <w:name w:val="Endnote Text Char"/>
    <w:basedOn w:val="DefaultParagraphFont"/>
    <w:link w:val="EndnoteText"/>
    <w:semiHidden/>
    <w:locked/>
    <w:rsid w:val="008E3599"/>
  </w:style>
  <w:style w:type="character" w:customStyle="1" w:styleId="TitleChar">
    <w:name w:val="Title Char"/>
    <w:basedOn w:val="DefaultParagraphFont"/>
    <w:link w:val="Title"/>
    <w:locked/>
    <w:rsid w:val="008E3599"/>
    <w:rPr>
      <w:b/>
      <w:bCs/>
      <w:caps/>
      <w:szCs w:val="24"/>
    </w:rPr>
  </w:style>
  <w:style w:type="character" w:customStyle="1" w:styleId="BodyTextIndentChar">
    <w:name w:val="Body Text Indent Char"/>
    <w:basedOn w:val="DefaultParagraphFont"/>
    <w:link w:val="BodyTextIndent"/>
    <w:locked/>
    <w:rsid w:val="008E3599"/>
    <w:rPr>
      <w:sz w:val="18"/>
      <w:szCs w:val="24"/>
    </w:rPr>
  </w:style>
  <w:style w:type="paragraph" w:styleId="ListContinue">
    <w:name w:val="List Continue"/>
    <w:basedOn w:val="Normal"/>
    <w:rsid w:val="008E3599"/>
    <w:pPr>
      <w:widowControl w:val="0"/>
      <w:spacing w:before="120" w:after="120"/>
      <w:ind w:left="360"/>
      <w:jc w:val="both"/>
    </w:pPr>
    <w:rPr>
      <w:rFonts w:ascii="Courier New" w:eastAsia="Calibri" w:hAnsi="Courier New" w:cs="Courier New"/>
    </w:rPr>
  </w:style>
  <w:style w:type="paragraph" w:styleId="Subtitle">
    <w:name w:val="Subtitle"/>
    <w:basedOn w:val="Normal"/>
    <w:next w:val="Normal"/>
    <w:link w:val="SubtitleChar"/>
    <w:qFormat/>
    <w:rsid w:val="008E3599"/>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rsid w:val="008E3599"/>
    <w:rPr>
      <w:rFonts w:ascii="Georgia" w:hAnsi="Georgia" w:cs="Georgia"/>
      <w:i/>
      <w:iCs/>
      <w:color w:val="666666"/>
      <w:sz w:val="48"/>
      <w:szCs w:val="48"/>
    </w:rPr>
  </w:style>
  <w:style w:type="character" w:customStyle="1" w:styleId="BodyText3Char">
    <w:name w:val="Body Text 3 Char"/>
    <w:basedOn w:val="DefaultParagraphFont"/>
    <w:link w:val="BodyText3"/>
    <w:locked/>
    <w:rsid w:val="008E3599"/>
    <w:rPr>
      <w:sz w:val="16"/>
      <w:szCs w:val="16"/>
    </w:rPr>
  </w:style>
  <w:style w:type="character" w:customStyle="1" w:styleId="BodyTextIndent2Char">
    <w:name w:val="Body Text Indent 2 Char"/>
    <w:basedOn w:val="DefaultParagraphFont"/>
    <w:link w:val="BodyTextIndent2"/>
    <w:locked/>
    <w:rsid w:val="008E3599"/>
    <w:rPr>
      <w:sz w:val="24"/>
      <w:szCs w:val="24"/>
    </w:rPr>
  </w:style>
  <w:style w:type="character" w:customStyle="1" w:styleId="BodyTextIndent3Char">
    <w:name w:val="Body Text Indent 3 Char"/>
    <w:basedOn w:val="DefaultParagraphFont"/>
    <w:link w:val="BodyTextIndent3"/>
    <w:locked/>
    <w:rsid w:val="008E3599"/>
    <w:rPr>
      <w:rFonts w:ascii="Century Schoolbook" w:hAnsi="Century Schoolbook"/>
      <w:sz w:val="24"/>
      <w:szCs w:val="24"/>
    </w:rPr>
  </w:style>
  <w:style w:type="character" w:customStyle="1" w:styleId="PlainTextChar">
    <w:name w:val="Plain Text Char"/>
    <w:basedOn w:val="DefaultParagraphFont"/>
    <w:link w:val="PlainText"/>
    <w:locked/>
    <w:rsid w:val="008E3599"/>
    <w:rPr>
      <w:rFonts w:ascii="Courier New" w:hAnsi="Courier New"/>
    </w:rPr>
  </w:style>
  <w:style w:type="paragraph" w:customStyle="1" w:styleId="BalloonText1">
    <w:name w:val="Balloon Text1"/>
    <w:aliases w:val="Char Char21,Char Char211,Char Char2111,Char Char3,Char Char31,Char Char4"/>
    <w:basedOn w:val="Normal"/>
    <w:rsid w:val="008E3599"/>
    <w:rPr>
      <w:rFonts w:ascii="Tahoma" w:hAnsi="Tahoma" w:cs="Tahoma"/>
      <w:sz w:val="16"/>
      <w:szCs w:val="16"/>
    </w:rPr>
  </w:style>
  <w:style w:type="character" w:customStyle="1" w:styleId="NoSpacingChar">
    <w:name w:val="No Spacing Char"/>
    <w:basedOn w:val="DefaultParagraphFont"/>
    <w:link w:val="NoSpacing"/>
    <w:locked/>
    <w:rsid w:val="008E3599"/>
    <w:rPr>
      <w:rFonts w:asciiTheme="minorHAnsi" w:eastAsiaTheme="minorEastAsia" w:hAnsiTheme="minorHAnsi" w:cstheme="minorBidi"/>
      <w:sz w:val="22"/>
      <w:szCs w:val="22"/>
    </w:rPr>
  </w:style>
  <w:style w:type="paragraph" w:customStyle="1" w:styleId="ListParagraph1">
    <w:name w:val="List Paragraph1"/>
    <w:aliases w:val="References,Dot pt,F5 List Paragraph,List Paragraph Char Char Char,Indicator Text,Numbered Para 1,Evidence on Demand bullet points,Bullets 1 space,List Paragraph11,Recommendatio,Párrafo de lista,Recommendation"/>
    <w:basedOn w:val="Normal"/>
    <w:rsid w:val="008E3599"/>
    <w:pPr>
      <w:spacing w:after="160" w:line="256" w:lineRule="auto"/>
      <w:ind w:left="720"/>
    </w:pPr>
    <w:rPr>
      <w:rFonts w:ascii="Calibri" w:hAnsi="Calibri" w:cs="Calibri"/>
      <w:sz w:val="22"/>
      <w:szCs w:val="22"/>
    </w:rPr>
  </w:style>
  <w:style w:type="paragraph" w:styleId="Quote">
    <w:name w:val="Quote"/>
    <w:basedOn w:val="Normal"/>
    <w:next w:val="Normal"/>
    <w:link w:val="QuoteChar"/>
    <w:qFormat/>
    <w:rsid w:val="008E3599"/>
    <w:pPr>
      <w:jc w:val="center"/>
    </w:pPr>
    <w:rPr>
      <w:rFonts w:ascii="Nikosh" w:eastAsia="Calibri" w:hAnsi="Nikosh" w:cs="Nikosh"/>
      <w:color w:val="000000"/>
      <w:sz w:val="26"/>
      <w:szCs w:val="26"/>
    </w:rPr>
  </w:style>
  <w:style w:type="character" w:customStyle="1" w:styleId="QuoteChar">
    <w:name w:val="Quote Char"/>
    <w:basedOn w:val="DefaultParagraphFont"/>
    <w:link w:val="Quote"/>
    <w:rsid w:val="008E3599"/>
    <w:rPr>
      <w:rFonts w:ascii="Nikosh" w:eastAsia="Calibri" w:hAnsi="Nikosh" w:cs="Nikosh"/>
      <w:color w:val="000000"/>
      <w:sz w:val="26"/>
      <w:szCs w:val="26"/>
    </w:rPr>
  </w:style>
  <w:style w:type="paragraph" w:customStyle="1" w:styleId="Para1">
    <w:name w:val="Para 1"/>
    <w:basedOn w:val="Normal"/>
    <w:rsid w:val="008E3599"/>
    <w:pPr>
      <w:spacing w:beforeLines="100" w:afterLines="100" w:line="288" w:lineRule="atLeast"/>
    </w:pPr>
    <w:rPr>
      <w:rFonts w:ascii="Cambria" w:hAnsi="Cambria" w:cs="Cambria"/>
      <w:b/>
      <w:bCs/>
      <w:color w:val="000000"/>
    </w:rPr>
  </w:style>
  <w:style w:type="paragraph" w:customStyle="1" w:styleId="Pa6">
    <w:name w:val="Pa6"/>
    <w:basedOn w:val="Normal"/>
    <w:next w:val="Normal"/>
    <w:rsid w:val="008E3599"/>
    <w:pPr>
      <w:autoSpaceDE w:val="0"/>
      <w:autoSpaceDN w:val="0"/>
      <w:adjustRightInd w:val="0"/>
      <w:spacing w:line="241" w:lineRule="atLeast"/>
    </w:pPr>
    <w:rPr>
      <w:rFonts w:eastAsia="Calibri"/>
    </w:rPr>
  </w:style>
  <w:style w:type="paragraph" w:customStyle="1" w:styleId="Pa1">
    <w:name w:val="Pa1"/>
    <w:basedOn w:val="Normal"/>
    <w:next w:val="Normal"/>
    <w:rsid w:val="008E3599"/>
    <w:pPr>
      <w:autoSpaceDE w:val="0"/>
      <w:autoSpaceDN w:val="0"/>
      <w:adjustRightInd w:val="0"/>
      <w:spacing w:line="241" w:lineRule="atLeast"/>
    </w:pPr>
    <w:rPr>
      <w:rFonts w:eastAsia="Calibri"/>
    </w:rPr>
  </w:style>
  <w:style w:type="paragraph" w:customStyle="1" w:styleId="xl24">
    <w:name w:val="xl24"/>
    <w:basedOn w:val="Normal"/>
    <w:rsid w:val="008E3599"/>
    <w:pPr>
      <w:spacing w:before="100" w:beforeAutospacing="1" w:after="100" w:afterAutospacing="1"/>
      <w:jc w:val="both"/>
    </w:pPr>
    <w:rPr>
      <w:rFonts w:ascii="Calibri" w:hAnsi="Calibri" w:cs="Calibri"/>
    </w:rPr>
  </w:style>
  <w:style w:type="paragraph" w:customStyle="1" w:styleId="xl29">
    <w:name w:val="xl29"/>
    <w:basedOn w:val="Normal"/>
    <w:rsid w:val="008E3599"/>
    <w:pPr>
      <w:spacing w:before="100" w:beforeAutospacing="1" w:after="100" w:afterAutospacing="1"/>
      <w:jc w:val="center"/>
    </w:pPr>
    <w:rPr>
      <w:rFonts w:eastAsia="Calibri"/>
      <w:b/>
      <w:bCs/>
    </w:rPr>
  </w:style>
  <w:style w:type="paragraph" w:customStyle="1" w:styleId="xl25">
    <w:name w:val="xl25"/>
    <w:basedOn w:val="Normal"/>
    <w:rsid w:val="008E3599"/>
    <w:pPr>
      <w:pBdr>
        <w:right w:val="single" w:sz="4" w:space="0" w:color="auto"/>
      </w:pBdr>
      <w:spacing w:before="100" w:beforeAutospacing="1" w:after="100" w:afterAutospacing="1"/>
      <w:jc w:val="center"/>
    </w:pPr>
    <w:rPr>
      <w:rFonts w:ascii="Calibri" w:hAnsi="Calibri" w:cs="Calibri"/>
      <w:sz w:val="16"/>
      <w:szCs w:val="16"/>
    </w:rPr>
  </w:style>
  <w:style w:type="paragraph" w:customStyle="1" w:styleId="xl26">
    <w:name w:val="xl26"/>
    <w:basedOn w:val="Normal"/>
    <w:rsid w:val="008E3599"/>
    <w:pPr>
      <w:spacing w:before="100" w:beforeAutospacing="1" w:after="100" w:afterAutospacing="1"/>
      <w:jc w:val="center"/>
    </w:pPr>
    <w:rPr>
      <w:rFonts w:ascii="Calibri" w:hAnsi="Calibri" w:cs="Calibri"/>
    </w:rPr>
  </w:style>
  <w:style w:type="paragraph" w:customStyle="1" w:styleId="xl27">
    <w:name w:val="xl27"/>
    <w:basedOn w:val="Normal"/>
    <w:rsid w:val="008E3599"/>
    <w:pPr>
      <w:pBdr>
        <w:right w:val="single" w:sz="4" w:space="0" w:color="auto"/>
      </w:pBdr>
      <w:spacing w:before="100" w:beforeAutospacing="1" w:after="100" w:afterAutospacing="1"/>
      <w:jc w:val="center"/>
    </w:pPr>
    <w:rPr>
      <w:rFonts w:ascii="Calibri" w:hAnsi="Calibri" w:cs="Calibri"/>
    </w:rPr>
  </w:style>
  <w:style w:type="paragraph" w:customStyle="1" w:styleId="xl28">
    <w:name w:val="xl28"/>
    <w:basedOn w:val="Normal"/>
    <w:rsid w:val="008E3599"/>
    <w:pPr>
      <w:spacing w:before="100" w:beforeAutospacing="1" w:after="100" w:afterAutospacing="1"/>
      <w:jc w:val="center"/>
    </w:pPr>
    <w:rPr>
      <w:rFonts w:ascii="Calibri" w:hAnsi="Calibri" w:cs="Calibri"/>
    </w:rPr>
  </w:style>
  <w:style w:type="paragraph" w:customStyle="1" w:styleId="xl30">
    <w:name w:val="xl3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rPr>
  </w:style>
  <w:style w:type="paragraph" w:customStyle="1" w:styleId="xl31">
    <w:name w:val="xl31"/>
    <w:basedOn w:val="Normal"/>
    <w:rsid w:val="008E3599"/>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32">
    <w:name w:val="xl32"/>
    <w:basedOn w:val="Normal"/>
    <w:rsid w:val="008E359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18"/>
      <w:szCs w:val="18"/>
    </w:rPr>
  </w:style>
  <w:style w:type="paragraph" w:customStyle="1" w:styleId="xl33">
    <w:name w:val="xl33"/>
    <w:basedOn w:val="Normal"/>
    <w:rsid w:val="008E359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18"/>
      <w:szCs w:val="18"/>
    </w:rPr>
  </w:style>
  <w:style w:type="paragraph" w:customStyle="1" w:styleId="xl34">
    <w:name w:val="xl34"/>
    <w:basedOn w:val="Normal"/>
    <w:rsid w:val="008E3599"/>
    <w:pPr>
      <w:spacing w:before="100" w:beforeAutospacing="1" w:after="100" w:afterAutospacing="1"/>
      <w:jc w:val="both"/>
    </w:pPr>
    <w:rPr>
      <w:rFonts w:ascii="Courier New" w:hAnsi="Courier New" w:cs="Courier New"/>
    </w:rPr>
  </w:style>
  <w:style w:type="paragraph" w:customStyle="1" w:styleId="xl35">
    <w:name w:val="xl35"/>
    <w:basedOn w:val="Normal"/>
    <w:rsid w:val="008E3599"/>
    <w:pPr>
      <w:pBdr>
        <w:top w:val="single" w:sz="4" w:space="0" w:color="auto"/>
        <w:left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36">
    <w:name w:val="xl36"/>
    <w:basedOn w:val="Normal"/>
    <w:rsid w:val="008E3599"/>
    <w:pPr>
      <w:pBdr>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22">
    <w:name w:val="xl22"/>
    <w:basedOn w:val="Normal"/>
    <w:rsid w:val="008E3599"/>
    <w:pPr>
      <w:spacing w:before="100" w:beforeAutospacing="1" w:after="100" w:afterAutospacing="1"/>
      <w:jc w:val="both"/>
    </w:pPr>
    <w:rPr>
      <w:rFonts w:ascii="SutonnyMJ" w:hAnsi="SutonnyMJ" w:cs="SutonnyMJ"/>
      <w:sz w:val="28"/>
      <w:szCs w:val="28"/>
      <w:lang w:val="en-AU"/>
    </w:rPr>
  </w:style>
  <w:style w:type="paragraph" w:customStyle="1" w:styleId="148">
    <w:name w:val="148"/>
    <w:rsid w:val="008E3599"/>
    <w:rPr>
      <w:rFonts w:ascii="NikoshBAN" w:eastAsia="Calibri" w:hAnsi="NikoshBAN" w:cs="NikoshBAN"/>
    </w:rPr>
  </w:style>
  <w:style w:type="paragraph" w:customStyle="1" w:styleId="3">
    <w:name w:val="3"/>
    <w:rsid w:val="008E3599"/>
    <w:rPr>
      <w:rFonts w:ascii="NikoshBAN" w:eastAsia="Calibri" w:hAnsi="NikoshBAN" w:cs="NikoshBAN"/>
    </w:rPr>
  </w:style>
  <w:style w:type="paragraph" w:customStyle="1" w:styleId="38">
    <w:name w:val="38"/>
    <w:rsid w:val="008E3599"/>
    <w:rPr>
      <w:rFonts w:ascii="NikoshBAN" w:eastAsia="Calibri" w:hAnsi="NikoshBAN" w:cs="NikoshBAN"/>
    </w:rPr>
  </w:style>
  <w:style w:type="paragraph" w:customStyle="1" w:styleId="Figure">
    <w:name w:val="Figure"/>
    <w:basedOn w:val="Normal"/>
    <w:rsid w:val="008E3599"/>
    <w:pPr>
      <w:keepLines/>
      <w:spacing w:before="120"/>
      <w:jc w:val="center"/>
    </w:pPr>
    <w:rPr>
      <w:rFonts w:ascii="Charter BT" w:eastAsia="Calibri" w:hAnsi="Charter BT" w:cs="Charter BT"/>
      <w:kern w:val="18"/>
      <w:lang w:val="en-GB"/>
    </w:rPr>
  </w:style>
  <w:style w:type="paragraph" w:customStyle="1" w:styleId="147">
    <w:name w:val="147"/>
    <w:rsid w:val="008E3599"/>
    <w:rPr>
      <w:rFonts w:ascii="NikoshBAN" w:eastAsia="Calibri" w:hAnsi="NikoshBAN" w:cs="NikoshBAN"/>
    </w:rPr>
  </w:style>
  <w:style w:type="paragraph" w:customStyle="1" w:styleId="37">
    <w:name w:val="37"/>
    <w:rsid w:val="008E3599"/>
    <w:rPr>
      <w:rFonts w:ascii="NikoshBAN" w:eastAsia="Calibri" w:hAnsi="NikoshBAN" w:cs="NikoshBAN"/>
    </w:rPr>
  </w:style>
  <w:style w:type="paragraph" w:customStyle="1" w:styleId="36">
    <w:name w:val="36"/>
    <w:rsid w:val="008E3599"/>
    <w:rPr>
      <w:rFonts w:ascii="NikoshBAN" w:eastAsia="Calibri" w:hAnsi="NikoshBAN" w:cs="NikoshBAN"/>
    </w:rPr>
  </w:style>
  <w:style w:type="paragraph" w:customStyle="1" w:styleId="Caption1">
    <w:name w:val="Caption1"/>
    <w:basedOn w:val="Normal"/>
    <w:autoRedefine/>
    <w:rsid w:val="008E3599"/>
    <w:pPr>
      <w:spacing w:line="360" w:lineRule="auto"/>
      <w:ind w:right="-29"/>
      <w:jc w:val="center"/>
    </w:pPr>
    <w:rPr>
      <w:rFonts w:eastAsia="Calibri"/>
      <w:b/>
      <w:bCs/>
      <w:color w:val="000000"/>
      <w:sz w:val="20"/>
      <w:szCs w:val="20"/>
    </w:rPr>
  </w:style>
  <w:style w:type="paragraph" w:customStyle="1" w:styleId="292">
    <w:name w:val="292"/>
    <w:rsid w:val="008E3599"/>
    <w:rPr>
      <w:rFonts w:ascii="NikoshBAN" w:eastAsia="Calibri" w:hAnsi="NikoshBAN" w:cs="NikoshBAN"/>
    </w:rPr>
  </w:style>
  <w:style w:type="paragraph" w:customStyle="1" w:styleId="35">
    <w:name w:val="35"/>
    <w:rsid w:val="008E3599"/>
    <w:rPr>
      <w:rFonts w:ascii="NikoshBAN" w:eastAsia="Calibri" w:hAnsi="NikoshBAN" w:cs="NikoshBAN"/>
    </w:rPr>
  </w:style>
  <w:style w:type="paragraph" w:customStyle="1" w:styleId="34">
    <w:name w:val="34"/>
    <w:rsid w:val="008E3599"/>
    <w:rPr>
      <w:rFonts w:ascii="NikoshBAN" w:eastAsia="Calibri" w:hAnsi="NikoshBAN" w:cs="NikoshBAN"/>
    </w:rPr>
  </w:style>
  <w:style w:type="paragraph" w:customStyle="1" w:styleId="xl73">
    <w:name w:val="xl73"/>
    <w:basedOn w:val="Normal"/>
    <w:rsid w:val="008E3599"/>
    <w:pPr>
      <w:spacing w:before="100" w:beforeAutospacing="1" w:after="100" w:afterAutospacing="1"/>
      <w:jc w:val="both"/>
    </w:pPr>
    <w:rPr>
      <w:rFonts w:ascii="Arial" w:eastAsia="Calibri" w:hAnsi="Arial" w:cs="Arial"/>
      <w:sz w:val="20"/>
      <w:szCs w:val="20"/>
    </w:rPr>
  </w:style>
  <w:style w:type="paragraph" w:customStyle="1" w:styleId="xl74">
    <w:name w:val="xl74"/>
    <w:basedOn w:val="Normal"/>
    <w:rsid w:val="008E3599"/>
    <w:pPr>
      <w:spacing w:before="100" w:beforeAutospacing="1" w:after="100" w:afterAutospacing="1"/>
      <w:jc w:val="both"/>
    </w:pPr>
    <w:rPr>
      <w:rFonts w:ascii="Arial" w:eastAsia="Calibri" w:hAnsi="Arial" w:cs="Arial"/>
      <w:b/>
      <w:bCs/>
      <w:sz w:val="20"/>
      <w:szCs w:val="20"/>
    </w:rPr>
  </w:style>
  <w:style w:type="paragraph" w:customStyle="1" w:styleId="xl78">
    <w:name w:val="xl78"/>
    <w:basedOn w:val="Normal"/>
    <w:rsid w:val="008E3599"/>
    <w:pPr>
      <w:spacing w:before="100" w:beforeAutospacing="1" w:after="100" w:afterAutospacing="1"/>
      <w:jc w:val="center"/>
    </w:pPr>
    <w:rPr>
      <w:rFonts w:ascii="Arial" w:eastAsia="Calibri" w:hAnsi="Arial" w:cs="Arial"/>
      <w:sz w:val="20"/>
      <w:szCs w:val="20"/>
    </w:rPr>
  </w:style>
  <w:style w:type="paragraph" w:customStyle="1" w:styleId="Caption2">
    <w:name w:val="Caption2"/>
    <w:basedOn w:val="Caption1"/>
    <w:autoRedefine/>
    <w:rsid w:val="008E3599"/>
    <w:pPr>
      <w:jc w:val="left"/>
    </w:pPr>
    <w:rPr>
      <w:color w:val="auto"/>
    </w:rPr>
  </w:style>
  <w:style w:type="paragraph" w:customStyle="1" w:styleId="146">
    <w:name w:val="146"/>
    <w:rsid w:val="008E3599"/>
    <w:rPr>
      <w:rFonts w:ascii="NikoshBAN" w:eastAsia="Calibri" w:hAnsi="NikoshBAN" w:cs="NikoshBAN"/>
    </w:rPr>
  </w:style>
  <w:style w:type="paragraph" w:customStyle="1" w:styleId="33">
    <w:name w:val="33"/>
    <w:rsid w:val="008E3599"/>
    <w:rPr>
      <w:rFonts w:ascii="NikoshBAN" w:eastAsia="Calibri" w:hAnsi="NikoshBAN" w:cs="NikoshBAN"/>
    </w:rPr>
  </w:style>
  <w:style w:type="paragraph" w:customStyle="1" w:styleId="32">
    <w:name w:val="32"/>
    <w:rsid w:val="008E3599"/>
    <w:rPr>
      <w:rFonts w:ascii="NikoshBAN" w:eastAsia="Calibri" w:hAnsi="NikoshBAN" w:cs="NikoshBAN"/>
    </w:rPr>
  </w:style>
  <w:style w:type="paragraph" w:customStyle="1" w:styleId="LightShading-Accent11">
    <w:name w:val="Light Shading - Accent 11"/>
    <w:rsid w:val="008E3599"/>
    <w:rPr>
      <w:rFonts w:ascii="NikoshBAN" w:eastAsia="Calibri" w:hAnsi="NikoshBAN" w:cs="NikoshBAN"/>
    </w:rPr>
  </w:style>
  <w:style w:type="paragraph" w:customStyle="1" w:styleId="31">
    <w:name w:val="31"/>
    <w:rsid w:val="008E3599"/>
    <w:rPr>
      <w:rFonts w:ascii="Calibri" w:eastAsia="Calibri" w:hAnsi="Calibri" w:cs="Calibri"/>
    </w:rPr>
  </w:style>
  <w:style w:type="paragraph" w:customStyle="1" w:styleId="font5">
    <w:name w:val="font5"/>
    <w:basedOn w:val="Normal"/>
    <w:rsid w:val="008E3599"/>
    <w:pPr>
      <w:spacing w:before="100" w:beforeAutospacing="1" w:after="100" w:afterAutospacing="1"/>
    </w:pPr>
    <w:rPr>
      <w:rFonts w:ascii="Nikosh" w:eastAsia="Calibri" w:hAnsi="Nikosh" w:cs="Nikosh"/>
      <w:b/>
      <w:bCs/>
      <w:color w:val="0070C0"/>
      <w:sz w:val="20"/>
      <w:szCs w:val="20"/>
    </w:rPr>
  </w:style>
  <w:style w:type="paragraph" w:customStyle="1" w:styleId="font6">
    <w:name w:val="font6"/>
    <w:basedOn w:val="Normal"/>
    <w:rsid w:val="008E3599"/>
    <w:pPr>
      <w:spacing w:before="100" w:beforeAutospacing="1" w:after="100" w:afterAutospacing="1"/>
    </w:pPr>
    <w:rPr>
      <w:rFonts w:eastAsia="Calibri"/>
      <w:b/>
      <w:bCs/>
      <w:color w:val="0070C0"/>
      <w:sz w:val="20"/>
      <w:szCs w:val="20"/>
    </w:rPr>
  </w:style>
  <w:style w:type="paragraph" w:customStyle="1" w:styleId="font7">
    <w:name w:val="font7"/>
    <w:basedOn w:val="Normal"/>
    <w:rsid w:val="008E3599"/>
    <w:pPr>
      <w:spacing w:before="100" w:beforeAutospacing="1" w:after="100" w:afterAutospacing="1"/>
    </w:pPr>
    <w:rPr>
      <w:rFonts w:ascii="Nikosh" w:eastAsia="Calibri" w:hAnsi="Nikosh" w:cs="Nikosh"/>
      <w:b/>
      <w:bCs/>
      <w:color w:val="000000"/>
      <w:sz w:val="20"/>
      <w:szCs w:val="20"/>
    </w:rPr>
  </w:style>
  <w:style w:type="paragraph" w:customStyle="1" w:styleId="font8">
    <w:name w:val="font8"/>
    <w:basedOn w:val="Normal"/>
    <w:rsid w:val="008E3599"/>
    <w:pPr>
      <w:spacing w:before="100" w:beforeAutospacing="1" w:after="100" w:afterAutospacing="1"/>
    </w:pPr>
    <w:rPr>
      <w:rFonts w:ascii="Nikosh" w:eastAsia="Calibri" w:hAnsi="Nikosh" w:cs="Nikosh"/>
      <w:b/>
      <w:bCs/>
      <w:color w:val="000000"/>
      <w:sz w:val="18"/>
      <w:szCs w:val="18"/>
    </w:rPr>
  </w:style>
  <w:style w:type="paragraph" w:customStyle="1" w:styleId="font9">
    <w:name w:val="font9"/>
    <w:basedOn w:val="Normal"/>
    <w:rsid w:val="008E3599"/>
    <w:pPr>
      <w:spacing w:before="100" w:beforeAutospacing="1" w:after="100" w:afterAutospacing="1"/>
    </w:pPr>
    <w:rPr>
      <w:rFonts w:ascii="Nikosh" w:eastAsia="Calibri" w:hAnsi="Nikosh" w:cs="Nikosh"/>
      <w:b/>
      <w:bCs/>
      <w:color w:val="0070C0"/>
      <w:sz w:val="16"/>
      <w:szCs w:val="16"/>
    </w:rPr>
  </w:style>
  <w:style w:type="paragraph" w:customStyle="1" w:styleId="font10">
    <w:name w:val="font10"/>
    <w:basedOn w:val="Normal"/>
    <w:rsid w:val="008E3599"/>
    <w:pPr>
      <w:spacing w:before="100" w:beforeAutospacing="1" w:after="100" w:afterAutospacing="1"/>
    </w:pPr>
    <w:rPr>
      <w:rFonts w:eastAsia="Calibri"/>
      <w:b/>
      <w:bCs/>
      <w:color w:val="0070C0"/>
      <w:sz w:val="18"/>
      <w:szCs w:val="18"/>
    </w:rPr>
  </w:style>
  <w:style w:type="paragraph" w:customStyle="1" w:styleId="font11">
    <w:name w:val="font11"/>
    <w:basedOn w:val="Normal"/>
    <w:rsid w:val="008E3599"/>
    <w:pPr>
      <w:spacing w:before="100" w:beforeAutospacing="1" w:after="100" w:afterAutospacing="1"/>
    </w:pPr>
    <w:rPr>
      <w:rFonts w:ascii="Nikosh" w:eastAsia="Calibri" w:hAnsi="Nikosh" w:cs="Nikosh"/>
      <w:b/>
      <w:bCs/>
      <w:color w:val="000000"/>
      <w:sz w:val="16"/>
      <w:szCs w:val="16"/>
    </w:rPr>
  </w:style>
  <w:style w:type="paragraph" w:customStyle="1" w:styleId="font12">
    <w:name w:val="font12"/>
    <w:basedOn w:val="Normal"/>
    <w:rsid w:val="008E3599"/>
    <w:pPr>
      <w:spacing w:before="100" w:beforeAutospacing="1" w:after="100" w:afterAutospacing="1"/>
    </w:pPr>
    <w:rPr>
      <w:rFonts w:ascii="Nikosh" w:eastAsia="Calibri" w:hAnsi="Nikosh" w:cs="Nikosh"/>
      <w:b/>
      <w:bCs/>
      <w:color w:val="0070C0"/>
      <w:sz w:val="22"/>
      <w:szCs w:val="22"/>
    </w:rPr>
  </w:style>
  <w:style w:type="paragraph" w:customStyle="1" w:styleId="font13">
    <w:name w:val="font13"/>
    <w:basedOn w:val="Normal"/>
    <w:rsid w:val="008E3599"/>
    <w:pPr>
      <w:spacing w:before="100" w:beforeAutospacing="1" w:after="100" w:afterAutospacing="1"/>
    </w:pPr>
    <w:rPr>
      <w:rFonts w:ascii="Nikosh" w:eastAsia="Calibri" w:hAnsi="Nikosh" w:cs="Nikosh"/>
      <w:b/>
      <w:bCs/>
      <w:color w:val="0070C0"/>
      <w:sz w:val="18"/>
      <w:szCs w:val="18"/>
    </w:rPr>
  </w:style>
  <w:style w:type="paragraph" w:customStyle="1" w:styleId="font14">
    <w:name w:val="font14"/>
    <w:basedOn w:val="Normal"/>
    <w:rsid w:val="008E3599"/>
    <w:pPr>
      <w:spacing w:before="100" w:beforeAutospacing="1" w:after="100" w:afterAutospacing="1"/>
    </w:pPr>
    <w:rPr>
      <w:rFonts w:eastAsia="Calibri"/>
      <w:b/>
      <w:bCs/>
      <w:color w:val="0070C0"/>
      <w:sz w:val="22"/>
      <w:szCs w:val="22"/>
    </w:rPr>
  </w:style>
  <w:style w:type="paragraph" w:customStyle="1" w:styleId="xl63">
    <w:name w:val="xl63"/>
    <w:basedOn w:val="Normal"/>
    <w:rsid w:val="008E3599"/>
    <w:pPr>
      <w:pBdr>
        <w:top w:val="single" w:sz="4" w:space="0" w:color="auto"/>
        <w:left w:val="single" w:sz="4" w:space="0" w:color="auto"/>
        <w:bottom w:val="single" w:sz="4" w:space="0" w:color="auto"/>
        <w:right w:val="single" w:sz="4" w:space="0" w:color="auto"/>
      </w:pBdr>
      <w:shd w:val="clear" w:color="auto" w:fill="C0504D"/>
      <w:spacing w:before="100" w:beforeAutospacing="1" w:after="100" w:afterAutospacing="1"/>
    </w:pPr>
    <w:rPr>
      <w:rFonts w:ascii="Nikosh" w:eastAsia="Calibri" w:hAnsi="Nikosh" w:cs="Nikosh"/>
      <w:b/>
      <w:bCs/>
      <w:color w:val="FFFFFF"/>
      <w:sz w:val="20"/>
      <w:szCs w:val="20"/>
    </w:rPr>
  </w:style>
  <w:style w:type="paragraph" w:customStyle="1" w:styleId="xl64">
    <w:name w:val="xl6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color w:val="0070C0"/>
      <w:sz w:val="20"/>
      <w:szCs w:val="20"/>
    </w:rPr>
  </w:style>
  <w:style w:type="paragraph" w:customStyle="1" w:styleId="xl65">
    <w:name w:val="xl6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sz w:val="20"/>
      <w:szCs w:val="20"/>
    </w:rPr>
  </w:style>
  <w:style w:type="paragraph" w:customStyle="1" w:styleId="xl66">
    <w:name w:val="xl6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8"/>
      <w:szCs w:val="18"/>
    </w:rPr>
  </w:style>
  <w:style w:type="paragraph" w:customStyle="1" w:styleId="xl67">
    <w:name w:val="xl6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8"/>
      <w:szCs w:val="18"/>
    </w:rPr>
  </w:style>
  <w:style w:type="paragraph" w:customStyle="1" w:styleId="xl68">
    <w:name w:val="xl6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9">
    <w:name w:val="xl6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18"/>
      <w:szCs w:val="18"/>
    </w:rPr>
  </w:style>
  <w:style w:type="paragraph" w:customStyle="1" w:styleId="xl70">
    <w:name w:val="xl7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rPr>
  </w:style>
  <w:style w:type="paragraph" w:customStyle="1" w:styleId="xl71">
    <w:name w:val="xl7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b/>
      <w:bCs/>
      <w:color w:val="0070C0"/>
      <w:sz w:val="20"/>
      <w:szCs w:val="20"/>
    </w:rPr>
  </w:style>
  <w:style w:type="paragraph" w:customStyle="1" w:styleId="xl72">
    <w:name w:val="xl7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6"/>
      <w:szCs w:val="16"/>
    </w:rPr>
  </w:style>
  <w:style w:type="paragraph" w:customStyle="1" w:styleId="xl75">
    <w:name w:val="xl7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FF0000"/>
      <w:sz w:val="20"/>
      <w:szCs w:val="20"/>
    </w:rPr>
  </w:style>
  <w:style w:type="paragraph" w:customStyle="1" w:styleId="xl76">
    <w:name w:val="xl7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FF0000"/>
      <w:sz w:val="20"/>
      <w:szCs w:val="20"/>
    </w:rPr>
  </w:style>
  <w:style w:type="paragraph" w:customStyle="1" w:styleId="xl77">
    <w:name w:val="xl7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79">
    <w:name w:val="xl7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0070C0"/>
      <w:sz w:val="20"/>
      <w:szCs w:val="20"/>
    </w:rPr>
  </w:style>
  <w:style w:type="paragraph" w:customStyle="1" w:styleId="xl80">
    <w:name w:val="xl8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1">
    <w:name w:val="xl8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2">
    <w:name w:val="xl8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3">
    <w:name w:val="xl83"/>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4">
    <w:name w:val="xl8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5">
    <w:name w:val="xl8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6">
    <w:name w:val="xl8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0000"/>
      <w:sz w:val="20"/>
      <w:szCs w:val="20"/>
    </w:rPr>
  </w:style>
  <w:style w:type="paragraph" w:customStyle="1" w:styleId="xl87">
    <w:name w:val="xl8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88">
    <w:name w:val="xl8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Vrinda" w:eastAsia="Calibri" w:hAnsi="Vrinda" w:cs="Vrinda"/>
      <w:color w:val="0070C0"/>
      <w:sz w:val="20"/>
      <w:szCs w:val="20"/>
    </w:rPr>
  </w:style>
  <w:style w:type="paragraph" w:customStyle="1" w:styleId="xl89">
    <w:name w:val="xl8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color w:val="0070C0"/>
    </w:rPr>
  </w:style>
  <w:style w:type="paragraph" w:customStyle="1" w:styleId="xl90">
    <w:name w:val="xl9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rPr>
  </w:style>
  <w:style w:type="paragraph" w:customStyle="1" w:styleId="xl91">
    <w:name w:val="xl9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6"/>
      <w:szCs w:val="16"/>
    </w:rPr>
  </w:style>
  <w:style w:type="character" w:customStyle="1" w:styleId="ref-journal">
    <w:name w:val="ref-journal"/>
    <w:basedOn w:val="DefaultParagraphFont"/>
    <w:rsid w:val="008E3599"/>
    <w:rPr>
      <w:rFonts w:cs="Times New Roman"/>
    </w:rPr>
  </w:style>
  <w:style w:type="character" w:customStyle="1" w:styleId="ref-vol">
    <w:name w:val="ref-vol"/>
    <w:basedOn w:val="DefaultParagraphFont"/>
    <w:rsid w:val="008E3599"/>
    <w:rPr>
      <w:rFonts w:cs="Times New Roman"/>
    </w:rPr>
  </w:style>
  <w:style w:type="character" w:customStyle="1" w:styleId="nowrap">
    <w:name w:val="nowrap"/>
    <w:basedOn w:val="DefaultParagraphFont"/>
    <w:rsid w:val="008E3599"/>
    <w:rPr>
      <w:rFonts w:cs="Times New Roman"/>
    </w:rPr>
  </w:style>
  <w:style w:type="character" w:customStyle="1" w:styleId="element-citation">
    <w:name w:val="element-citation"/>
    <w:basedOn w:val="DefaultParagraphFont"/>
    <w:rsid w:val="008E3599"/>
    <w:rPr>
      <w:rFonts w:cs="Times New Roman"/>
    </w:rPr>
  </w:style>
  <w:style w:type="character" w:customStyle="1" w:styleId="mjx-char">
    <w:name w:val="mjx-char"/>
    <w:basedOn w:val="DefaultParagraphFont"/>
    <w:rsid w:val="008E3599"/>
    <w:rPr>
      <w:rFonts w:cs="Times New Roman"/>
    </w:rPr>
  </w:style>
  <w:style w:type="character" w:customStyle="1" w:styleId="nd-word">
    <w:name w:val="nd-word"/>
    <w:basedOn w:val="DefaultParagraphFont"/>
    <w:rsid w:val="008E3599"/>
    <w:rPr>
      <w:rFonts w:cs="Times New Roman"/>
    </w:rPr>
  </w:style>
  <w:style w:type="character" w:customStyle="1" w:styleId="box">
    <w:name w:val="box"/>
    <w:basedOn w:val="DefaultParagraphFont"/>
    <w:rsid w:val="008E3599"/>
    <w:rPr>
      <w:rFonts w:cs="Times New Roman"/>
    </w:rPr>
  </w:style>
  <w:style w:type="character" w:customStyle="1" w:styleId="code">
    <w:name w:val="code"/>
    <w:basedOn w:val="DefaultParagraphFont"/>
    <w:rsid w:val="008E3599"/>
    <w:rPr>
      <w:rFonts w:cs="Times New Roman"/>
    </w:rPr>
  </w:style>
  <w:style w:type="character" w:customStyle="1" w:styleId="muitypography-root">
    <w:name w:val="muitypography-root"/>
    <w:basedOn w:val="DefaultParagraphFont"/>
    <w:rsid w:val="008E3599"/>
    <w:rPr>
      <w:rFonts w:cs="Times New Roman"/>
    </w:rPr>
  </w:style>
  <w:style w:type="character" w:customStyle="1" w:styleId="CommentSubjectChar1">
    <w:name w:val="Comment Subject Char1"/>
    <w:basedOn w:val="CommentTextChar"/>
    <w:semiHidden/>
    <w:locked/>
    <w:rsid w:val="008E3599"/>
    <w:rPr>
      <w:rFonts w:cs="Times New Roman"/>
      <w:b/>
      <w:bCs/>
      <w:sz w:val="25"/>
      <w:szCs w:val="25"/>
    </w:rPr>
  </w:style>
  <w:style w:type="character" w:customStyle="1" w:styleId="yiv5083162645yshortcuts">
    <w:name w:val="yiv5083162645yshortcuts"/>
    <w:basedOn w:val="DefaultParagraphFont"/>
    <w:rsid w:val="008E3599"/>
    <w:rPr>
      <w:rFonts w:cs="Times New Roman"/>
    </w:rPr>
  </w:style>
  <w:style w:type="character" w:customStyle="1" w:styleId="FootnoteTextChar1">
    <w:name w:val="Footnote Text Char1"/>
    <w:basedOn w:val="DefaultParagraphFont"/>
    <w:link w:val="FootnoteText"/>
    <w:semiHidden/>
    <w:locked/>
    <w:rsid w:val="008E3599"/>
  </w:style>
  <w:style w:type="character" w:customStyle="1" w:styleId="bd1">
    <w:name w:val="bd1"/>
    <w:basedOn w:val="DefaultParagraphFont"/>
    <w:rsid w:val="008E3599"/>
    <w:rPr>
      <w:rFonts w:ascii="Verdana" w:hAnsi="Verdana" w:cs="Verdana"/>
      <w:sz w:val="13"/>
      <w:szCs w:val="13"/>
    </w:rPr>
  </w:style>
  <w:style w:type="character" w:customStyle="1" w:styleId="A6">
    <w:name w:val="A6"/>
    <w:rsid w:val="008E3599"/>
    <w:rPr>
      <w:color w:val="000000"/>
      <w:u w:val="single"/>
    </w:rPr>
  </w:style>
  <w:style w:type="character" w:customStyle="1" w:styleId="A9">
    <w:name w:val="A9"/>
    <w:rsid w:val="008E3599"/>
    <w:rPr>
      <w:rFonts w:ascii="Raleway" w:hAnsi="Raleway"/>
      <w:color w:val="000000"/>
      <w:sz w:val="12"/>
    </w:rPr>
  </w:style>
  <w:style w:type="character" w:customStyle="1" w:styleId="tlid-translation">
    <w:name w:val="tlid-translation"/>
    <w:basedOn w:val="DefaultParagraphFont"/>
    <w:rsid w:val="008E3599"/>
    <w:rPr>
      <w:rFonts w:cs="Times New Roman"/>
    </w:rPr>
  </w:style>
  <w:style w:type="character" w:customStyle="1" w:styleId="FooterChar31">
    <w:name w:val="Footer Char31"/>
    <w:aliases w:val="Char Char22,Char Char32,Char Char221"/>
    <w:locked/>
    <w:rsid w:val="008E3599"/>
    <w:rPr>
      <w:rFonts w:ascii="Times New Roman" w:hAnsi="Times New Roman"/>
      <w:sz w:val="24"/>
    </w:rPr>
  </w:style>
  <w:style w:type="character" w:customStyle="1" w:styleId="st">
    <w:name w:val="st"/>
    <w:rsid w:val="008E3599"/>
  </w:style>
  <w:style w:type="character" w:customStyle="1" w:styleId="FooterChar2">
    <w:name w:val="Footer Char2"/>
    <w:aliases w:val="Char Char11"/>
    <w:locked/>
    <w:rsid w:val="008E3599"/>
    <w:rPr>
      <w:rFonts w:ascii="Times New Roman" w:hAnsi="Times New Roman"/>
      <w:sz w:val="24"/>
    </w:rPr>
  </w:style>
  <w:style w:type="character" w:customStyle="1" w:styleId="CommentTextChar1">
    <w:name w:val="Comment Text Char1"/>
    <w:semiHidden/>
    <w:rsid w:val="008E3599"/>
    <w:rPr>
      <w:sz w:val="20"/>
    </w:rPr>
  </w:style>
  <w:style w:type="character" w:customStyle="1" w:styleId="hps">
    <w:name w:val="hps"/>
    <w:rsid w:val="008E3599"/>
  </w:style>
  <w:style w:type="character" w:customStyle="1" w:styleId="atn">
    <w:name w:val="atn"/>
    <w:rsid w:val="008E3599"/>
  </w:style>
  <w:style w:type="character" w:customStyle="1" w:styleId="Heading2Char1">
    <w:name w:val="Heading 2 Char1"/>
    <w:locked/>
    <w:rsid w:val="008E3599"/>
    <w:rPr>
      <w:rFonts w:ascii="Times New Roman" w:hAnsi="Times New Roman"/>
      <w:b/>
      <w:color w:val="0070C0"/>
      <w:sz w:val="32"/>
    </w:rPr>
  </w:style>
  <w:style w:type="character" w:customStyle="1" w:styleId="shorttext">
    <w:name w:val="short_text"/>
    <w:rsid w:val="008E3599"/>
  </w:style>
  <w:style w:type="table" w:styleId="TableSimple1">
    <w:name w:val="Table Simple 1"/>
    <w:basedOn w:val="TableNormal"/>
    <w:rsid w:val="008E3599"/>
    <w:pPr>
      <w:spacing w:after="200" w:line="276" w:lineRule="auto"/>
    </w:pPr>
    <w:rPr>
      <w:rFonts w:ascii="Calibri" w:hAnsi="Calibri" w:cs="Calibri"/>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TableGrid5">
    <w:name w:val="Table Grid 5"/>
    <w:basedOn w:val="TableNormal"/>
    <w:rsid w:val="008E3599"/>
    <w:pPr>
      <w:spacing w:after="200" w:line="276" w:lineRule="auto"/>
    </w:pPr>
    <w:rPr>
      <w:rFonts w:ascii="Calibri" w:eastAsia="Calibri" w:hAnsi="Calibri" w:cs="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TableGrid8">
    <w:name w:val="Table Grid 8"/>
    <w:basedOn w:val="TableNormal"/>
    <w:rsid w:val="008E3599"/>
    <w:rPr>
      <w:rFonts w:ascii="Calibri" w:eastAsia="Calibri" w:hAnsi="Calibri" w:cs="Calibri"/>
      <w:b/>
      <w:bC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Vrinda" w:hAnsi="Vrinda" w:cs="Vrinda"/>
        <w:b/>
        <w:bCs/>
        <w:color w:val="FFFFFF"/>
      </w:rPr>
      <w:tblPr/>
      <w:tcPr>
        <w:tcBorders>
          <w:tl2br w:val="none" w:sz="0" w:space="0" w:color="auto"/>
          <w:tr2bl w:val="none" w:sz="0" w:space="0" w:color="auto"/>
        </w:tcBorders>
        <w:shd w:val="solid" w:color="000080" w:fill="FFFFFF"/>
      </w:tcPr>
    </w:tblStylePr>
    <w:tblStylePr w:type="lastRow">
      <w:rPr>
        <w:rFonts w:ascii="Vrinda" w:hAnsi="Vrinda" w:cs="Vrinda"/>
        <w:b/>
        <w:bCs/>
        <w:color w:val="auto"/>
      </w:rPr>
      <w:tblPr/>
      <w:tcPr>
        <w:tcBorders>
          <w:tl2br w:val="none" w:sz="0" w:space="0" w:color="auto"/>
          <w:tr2bl w:val="none" w:sz="0" w:space="0" w:color="auto"/>
        </w:tcBorders>
      </w:tcPr>
    </w:tblStylePr>
    <w:tblStylePr w:type="lastCol">
      <w:rPr>
        <w:rFonts w:ascii="Vrinda" w:hAnsi="Vrinda" w:cs="Vrinda"/>
        <w:b/>
        <w:bCs/>
        <w:color w:val="auto"/>
      </w:rPr>
      <w:tblPr/>
      <w:tcPr>
        <w:tcBorders>
          <w:tl2br w:val="none" w:sz="0" w:space="0" w:color="auto"/>
          <w:tr2bl w:val="none" w:sz="0" w:space="0" w:color="auto"/>
        </w:tcBorders>
      </w:tcPr>
    </w:tblStylePr>
  </w:style>
  <w:style w:type="table" w:styleId="TableWeb3">
    <w:name w:val="Table Web 3"/>
    <w:basedOn w:val="TableNormal"/>
    <w:rsid w:val="008E3599"/>
    <w:pPr>
      <w:spacing w:before="120" w:after="120" w:line="276" w:lineRule="auto"/>
      <w:jc w:val="both"/>
    </w:pPr>
    <w:rPr>
      <w:rFonts w:ascii="Calibri" w:eastAsia="Calibri" w:hAnsi="Calibri" w:cs="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LightShading1">
    <w:name w:val="Light Shading1"/>
    <w:rsid w:val="008E3599"/>
    <w:rPr>
      <w:rFonts w:ascii="Calibri" w:eastAsia="Calibri" w:hAnsi="Calibri" w:cs="Calibri"/>
      <w:color w:val="000000"/>
      <w:lang w:val="en-SG" w:eastAsia="en-SG" w:bidi="bn-BD"/>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firstCol">
      <w:rPr>
        <w:rFonts w:cs="Calibri Light"/>
        <w:b/>
        <w:bCs/>
      </w:rPr>
    </w:tblStylePr>
    <w:tblStylePr w:type="lastCol">
      <w:rPr>
        <w:rFonts w:cs="Calibri Light"/>
        <w:b/>
        <w:bCs/>
      </w:rPr>
    </w:tblStylePr>
  </w:style>
  <w:style w:type="table" w:customStyle="1" w:styleId="LightShading-Accent21">
    <w:name w:val="Light Shading - Accent 21"/>
    <w:rsid w:val="008E3599"/>
    <w:rPr>
      <w:rFonts w:ascii="Calibri" w:hAnsi="Calibri" w:cs="Calibri"/>
      <w:color w:val="943634"/>
      <w:lang w:val="en-SG" w:eastAsia="en-SG" w:bidi="bn-BD"/>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FD3D2"/>
      </w:tcPr>
    </w:tblStylePr>
    <w:tblStylePr w:type="band1Horz">
      <w:rPr>
        <w:rFonts w:cs="Calibri Light"/>
      </w:rPr>
      <w:tblPr/>
      <w:tcPr>
        <w:tcBorders>
          <w:left w:val="nil"/>
          <w:right w:val="nil"/>
          <w:insideH w:val="nil"/>
          <w:insideV w:val="nil"/>
        </w:tcBorders>
        <w:shd w:val="clear" w:color="auto" w:fill="EFD3D2"/>
      </w:tcPr>
    </w:tblStylePr>
  </w:style>
  <w:style w:type="table" w:customStyle="1" w:styleId="LightList-Accent21">
    <w:name w:val="Light List - Accent 21"/>
    <w:rsid w:val="008E3599"/>
    <w:rPr>
      <w:rFonts w:eastAsia="Calibri"/>
      <w:b/>
      <w:bCs/>
      <w:lang w:val="en-SG" w:eastAsia="en-SG" w:bidi="bn-BD"/>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shd w:val="clear" w:color="auto" w:fill="C0504D"/>
      </w:tcPr>
    </w:tblStylePr>
    <w:tblStylePr w:type="lastRow">
      <w:pPr>
        <w:spacing w:beforeLines="0" w:beforeAutospacing="0" w:afterLines="0" w:afterAutospacing="0"/>
      </w:pPr>
      <w:rPr>
        <w:rFonts w:ascii="Times New Roman" w:hAnsi="Times New Roman"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31">
    <w:name w:val="Light Shading - Accent 31"/>
    <w:rsid w:val="008E3599"/>
    <w:rPr>
      <w:rFonts w:ascii="Calibri" w:hAnsi="Calibri" w:cs="Calibri"/>
      <w:color w:val="76923C"/>
      <w:lang w:val="en-SG" w:eastAsia="en-SG" w:bidi="bn-BD"/>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6EED5"/>
      </w:tcPr>
    </w:tblStylePr>
    <w:tblStylePr w:type="band1Horz">
      <w:rPr>
        <w:rFonts w:cs="Calibri Light"/>
      </w:rPr>
      <w:tblPr/>
      <w:tcPr>
        <w:tcBorders>
          <w:left w:val="nil"/>
          <w:right w:val="nil"/>
          <w:insideH w:val="nil"/>
          <w:insideV w:val="nil"/>
        </w:tcBorders>
        <w:shd w:val="clear" w:color="auto" w:fill="E6EED5"/>
      </w:tcPr>
    </w:tblStylePr>
  </w:style>
  <w:style w:type="table" w:customStyle="1" w:styleId="LightList-Accent31">
    <w:name w:val="Light List - Accent 31"/>
    <w:rsid w:val="008E3599"/>
    <w:rPr>
      <w:rFonts w:ascii="Calibri" w:hAnsi="Calibri" w:cs="Calibri"/>
      <w:lang w:val="en-SG" w:eastAsia="en-SG" w:bidi="bn-BD"/>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shd w:val="clear" w:color="auto" w:fill="9BBB59"/>
      </w:tcPr>
    </w:tblStylePr>
    <w:tblStylePr w:type="lastRow">
      <w:pPr>
        <w:spacing w:beforeLines="0" w:beforeAutospacing="0" w:afterLines="0" w:afterAutospacing="0"/>
      </w:pPr>
      <w:rPr>
        <w:rFonts w:cs="Calibri Ligh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Light"/>
        <w:b/>
        <w:bCs/>
      </w:rPr>
    </w:tblStylePr>
    <w:tblStylePr w:type="lastCol">
      <w:rPr>
        <w:rFonts w:cs="Calibri Light"/>
        <w:b/>
        <w:bCs/>
      </w:rPr>
    </w:tblStylePr>
    <w:tblStylePr w:type="band1Vert">
      <w:rPr>
        <w:rFonts w:cs="Calibri Light"/>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Ligh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1">
    <w:name w:val="Medium Shading 1 - Accent 31"/>
    <w:rsid w:val="008E3599"/>
    <w:rPr>
      <w:rFonts w:ascii="Calibri" w:hAnsi="Calibri" w:cs="Calibri"/>
      <w:lang w:val="en-SG" w:eastAsia="en-SG" w:bidi="bn-BD"/>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pPr>
      <w:rPr>
        <w:rFonts w:cs="Calibri Light"/>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E6EED5"/>
      </w:tcPr>
    </w:tblStylePr>
    <w:tblStylePr w:type="band1Horz">
      <w:rPr>
        <w:rFonts w:cs="Calibri Light"/>
      </w:rPr>
      <w:tblPr/>
      <w:tcPr>
        <w:tcBorders>
          <w:insideH w:val="nil"/>
          <w:insideV w:val="nil"/>
        </w:tcBorders>
        <w:shd w:val="clear" w:color="auto" w:fill="E6EED5"/>
      </w:tcPr>
    </w:tblStylePr>
    <w:tblStylePr w:type="band2Horz">
      <w:rPr>
        <w:rFonts w:cs="Calibri Light"/>
      </w:rPr>
      <w:tblPr/>
      <w:tcPr>
        <w:tcBorders>
          <w:insideH w:val="nil"/>
          <w:insideV w:val="nil"/>
        </w:tcBorders>
      </w:tcPr>
    </w:tblStylePr>
  </w:style>
  <w:style w:type="table" w:customStyle="1" w:styleId="LightShading-Accent41">
    <w:name w:val="Light Shading - Accent 41"/>
    <w:rsid w:val="008E3599"/>
    <w:rPr>
      <w:rFonts w:ascii="Calibri" w:eastAsia="Calibri" w:hAnsi="Calibri" w:cs="Calibri"/>
      <w:b/>
      <w:bCs/>
      <w:color w:val="5F497A"/>
      <w:lang w:val="en-SG" w:eastAsia="en-SG" w:bidi="bn-BD"/>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firstCol">
      <w:rPr>
        <w:rFonts w:ascii="Calibri Light" w:hAnsi="Calibri Light" w:cs="Calibri Light"/>
        <w:b/>
        <w:bCs/>
      </w:rPr>
    </w:tblStylePr>
    <w:tblStylePr w:type="lastCol">
      <w:rPr>
        <w:rFonts w:ascii="Calibri Light" w:hAnsi="Calibri Light" w:cs="Calibri Light"/>
        <w:b/>
        <w:bCs/>
      </w:rPr>
    </w:tblStylePr>
    <w:tblStylePr w:type="band1Vert">
      <w:rPr>
        <w:rFonts w:ascii="Calibri Light" w:hAnsi="Calibri Light" w:cs="Calibri Light"/>
      </w:rPr>
      <w:tblPr/>
      <w:tcPr>
        <w:tcBorders>
          <w:left w:val="nil"/>
          <w:right w:val="nil"/>
          <w:insideH w:val="nil"/>
          <w:insideV w:val="nil"/>
        </w:tcBorders>
        <w:shd w:val="clear" w:color="auto" w:fill="DFD8E8"/>
      </w:tcPr>
    </w:tblStylePr>
    <w:tblStylePr w:type="band1Horz">
      <w:rPr>
        <w:rFonts w:ascii="Calibri Light" w:hAnsi="Calibri Light" w:cs="Calibri Light"/>
      </w:rPr>
      <w:tblPr/>
      <w:tcPr>
        <w:tcBorders>
          <w:left w:val="nil"/>
          <w:right w:val="nil"/>
          <w:insideH w:val="nil"/>
          <w:insideV w:val="nil"/>
        </w:tcBorders>
        <w:shd w:val="clear" w:color="auto" w:fill="DFD8E8"/>
      </w:tcPr>
    </w:tblStylePr>
  </w:style>
  <w:style w:type="table" w:customStyle="1" w:styleId="LightShading-Accent51">
    <w:name w:val="Light Shading - Accent 51"/>
    <w:rsid w:val="008E3599"/>
    <w:rPr>
      <w:rFonts w:ascii="Calibri" w:hAnsi="Calibri" w:cs="Calibri"/>
      <w:color w:val="31849B"/>
      <w:lang w:val="en-SG" w:eastAsia="en-SG" w:bidi="bn-BD"/>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D2EAF1"/>
      </w:tcPr>
    </w:tblStylePr>
    <w:tblStylePr w:type="band1Horz">
      <w:rPr>
        <w:rFonts w:cs="Calibri Light"/>
      </w:rPr>
      <w:tblPr/>
      <w:tcPr>
        <w:tcBorders>
          <w:left w:val="nil"/>
          <w:right w:val="nil"/>
          <w:insideH w:val="nil"/>
          <w:insideV w:val="nil"/>
        </w:tcBorders>
        <w:shd w:val="clear" w:color="auto" w:fill="D2EAF1"/>
      </w:tcPr>
    </w:tblStylePr>
  </w:style>
  <w:style w:type="table" w:customStyle="1" w:styleId="MediumShading1-Accent51">
    <w:name w:val="Medium Shading 1 - Accent 51"/>
    <w:rsid w:val="008E3599"/>
    <w:rPr>
      <w:rFonts w:ascii="Calibri" w:hAnsi="Calibri" w:cs="Calibri"/>
      <w:lang w:val="en-SG" w:eastAsia="en-SG" w:bidi="bn-B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pPr>
      <w:rPr>
        <w:rFonts w:cs="Calibri Light"/>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D2EAF1"/>
      </w:tcPr>
    </w:tblStylePr>
    <w:tblStylePr w:type="band1Horz">
      <w:rPr>
        <w:rFonts w:cs="Calibri Light"/>
      </w:rPr>
      <w:tblPr/>
      <w:tcPr>
        <w:tcBorders>
          <w:insideH w:val="nil"/>
          <w:insideV w:val="nil"/>
        </w:tcBorders>
        <w:shd w:val="clear" w:color="auto" w:fill="D2EAF1"/>
      </w:tcPr>
    </w:tblStylePr>
    <w:tblStylePr w:type="band2Horz">
      <w:rPr>
        <w:rFonts w:cs="Calibri Light"/>
      </w:rPr>
      <w:tblPr/>
      <w:tcPr>
        <w:tcBorders>
          <w:insideH w:val="nil"/>
          <w:insideV w:val="nil"/>
        </w:tcBorders>
      </w:tcPr>
    </w:tblStylePr>
  </w:style>
  <w:style w:type="table" w:customStyle="1" w:styleId="LightShading-Accent61">
    <w:name w:val="Light Shading - Accent 61"/>
    <w:rsid w:val="008E3599"/>
    <w:rPr>
      <w:rFonts w:ascii="Calibri" w:hAnsi="Calibri" w:cs="Calibri"/>
      <w:color w:val="E36C0A"/>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FDE4D0"/>
      </w:tcPr>
    </w:tblStylePr>
    <w:tblStylePr w:type="band1Horz">
      <w:rPr>
        <w:rFonts w:cs="Calibri Light"/>
      </w:rPr>
      <w:tblPr/>
      <w:tcPr>
        <w:tcBorders>
          <w:left w:val="nil"/>
          <w:right w:val="nil"/>
          <w:insideH w:val="nil"/>
          <w:insideV w:val="nil"/>
        </w:tcBorders>
        <w:shd w:val="clear" w:color="auto" w:fill="FDE4D0"/>
      </w:tcPr>
    </w:tblStylePr>
  </w:style>
  <w:style w:type="table" w:customStyle="1" w:styleId="LightList-Accent61">
    <w:name w:val="Light List - Accent 61"/>
    <w:rsid w:val="008E3599"/>
    <w:rPr>
      <w:rFonts w:ascii="NikoshBAN" w:eastAsia="Calibri" w:hAnsi="NikoshBAN" w:cs="NikoshBAN"/>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Georgia" w:hAnsi="Georgia" w:cs="Georgia"/>
        <w:b/>
        <w:bCs/>
        <w:color w:val="FFFFFF"/>
      </w:rPr>
      <w:tblPr/>
      <w:tcPr>
        <w:shd w:val="clear" w:color="auto" w:fill="F79646"/>
      </w:tcPr>
    </w:tblStylePr>
    <w:tblStylePr w:type="lastRow">
      <w:pPr>
        <w:spacing w:beforeLines="0" w:beforeAutospacing="0" w:afterLines="0" w:afterAutospacing="0"/>
      </w:pPr>
      <w:rPr>
        <w:rFonts w:ascii="Georgia" w:hAnsi="Georgia" w:cs="Georgia"/>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ascii="Georgia" w:hAnsi="Georgia" w:cs="Georgia"/>
        <w:b/>
        <w:bCs/>
      </w:rPr>
    </w:tblStylePr>
    <w:tblStylePr w:type="lastCol">
      <w:rPr>
        <w:rFonts w:ascii="Georgia" w:hAnsi="Georgia" w:cs="Georgia"/>
        <w:b/>
        <w:bCs/>
      </w:rPr>
    </w:tblStylePr>
    <w:tblStylePr w:type="band1Vert">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tblStylePr w:type="band1Horz">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rsid w:val="008E3599"/>
    <w:rPr>
      <w:rFonts w:ascii="Calibri" w:eastAsia="Calibri" w:hAnsi="Calibri" w:cs="Calibri"/>
      <w:b/>
      <w:bCs/>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Calibri Light" w:eastAsia="Times New Roman" w:hAnsi="Calibri Light" w:cs="Calibri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pPr>
      <w:rPr>
        <w:rFonts w:ascii="Calibri Light" w:eastAsia="Times New Roman" w:hAnsi="Calibri Light" w:cs="Calibri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Light"/>
        <w:b/>
        <w:bCs/>
      </w:rPr>
    </w:tblStylePr>
    <w:tblStylePr w:type="lastCol">
      <w:rPr>
        <w:rFonts w:ascii="Calibri Light" w:eastAsia="Times New Roman" w:hAnsi="Calibri Light" w:cs="Calibri Light"/>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ascii="Calibri Light" w:hAnsi="Calibri Light" w:cs="Calibri Light"/>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61">
    <w:name w:val="Medium List 1 - Accent 61"/>
    <w:rsid w:val="008E3599"/>
    <w:rPr>
      <w:rFonts w:ascii="Calibri" w:hAnsi="Calibri" w:cs="Calibri"/>
      <w:color w:val="000000"/>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Times New Roman" w:hAnsi="Calibri" w:cs="Calibri"/>
      </w:rPr>
      <w:tblPr/>
      <w:tcPr>
        <w:tcBorders>
          <w:top w:val="nil"/>
          <w:bottom w:val="single" w:sz="8" w:space="0" w:color="F79646"/>
        </w:tcBorders>
      </w:tcPr>
    </w:tblStylePr>
    <w:tblStylePr w:type="lastRow">
      <w:rPr>
        <w:rFonts w:cs="Calibri Light"/>
        <w:b/>
        <w:bCs/>
        <w:color w:val="1F497D"/>
      </w:rPr>
      <w:tblPr/>
      <w:tcPr>
        <w:tcBorders>
          <w:top w:val="single" w:sz="8" w:space="0" w:color="F79646"/>
          <w:bottom w:val="single" w:sz="8" w:space="0" w:color="F79646"/>
        </w:tcBorders>
      </w:tcPr>
    </w:tblStylePr>
    <w:tblStylePr w:type="firstCol">
      <w:rPr>
        <w:rFonts w:cs="Calibri Light"/>
        <w:b/>
        <w:bCs/>
      </w:rPr>
    </w:tblStylePr>
    <w:tblStylePr w:type="lastCol">
      <w:rPr>
        <w:rFonts w:cs="Calibri Light"/>
        <w:b/>
        <w:bCs/>
      </w:rPr>
      <w:tblPr/>
      <w:tcPr>
        <w:tcBorders>
          <w:top w:val="single" w:sz="8" w:space="0" w:color="F79646"/>
          <w:bottom w:val="single" w:sz="8" w:space="0" w:color="F79646"/>
        </w:tcBorders>
      </w:tcPr>
    </w:tblStylePr>
    <w:tblStylePr w:type="band1Vert">
      <w:rPr>
        <w:rFonts w:cs="Calibri Light"/>
      </w:rPr>
      <w:tblPr/>
      <w:tcPr>
        <w:shd w:val="clear" w:color="auto" w:fill="FDE4D0"/>
      </w:tcPr>
    </w:tblStylePr>
    <w:tblStylePr w:type="band1Horz">
      <w:rPr>
        <w:rFonts w:cs="Calibri Light"/>
      </w:rPr>
      <w:tblPr/>
      <w:tcPr>
        <w:shd w:val="clear" w:color="auto" w:fill="FDE4D0"/>
      </w:tcPr>
    </w:tblStylePr>
  </w:style>
  <w:style w:type="table" w:customStyle="1" w:styleId="ListTable6Colorful1">
    <w:name w:val="List Table 6 Colorful1"/>
    <w:rsid w:val="008E3599"/>
    <w:rPr>
      <w:rFonts w:ascii="Calibri" w:hAnsi="Calibri" w:cs="Calibri"/>
      <w:color w:val="000000"/>
    </w:rPr>
    <w:tblPr>
      <w:tblStyleRowBandSize w:val="1"/>
      <w:tblStyleColBandSize w:val="1"/>
      <w:tblBorders>
        <w:top w:val="single" w:sz="4" w:space="0" w:color="000000"/>
        <w:bottom w:val="single" w:sz="4" w:space="0" w:color="000000"/>
      </w:tblBorders>
      <w:tblCellMar>
        <w:top w:w="0" w:type="dxa"/>
        <w:left w:w="108" w:type="dxa"/>
        <w:bottom w:w="0" w:type="dxa"/>
        <w:right w:w="108" w:type="dxa"/>
      </w:tblCellMar>
    </w:tblPr>
  </w:style>
  <w:style w:type="table" w:customStyle="1" w:styleId="LightShading10">
    <w:name w:val="Light Shading1"/>
    <w:rsid w:val="008E3599"/>
    <w:rPr>
      <w:rFonts w:ascii="Calibri" w:hAnsi="Calibri" w:cs="Calibri"/>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4">
    <w:name w:val="14"/>
    <w:rsid w:val="008E3599"/>
    <w:pPr>
      <w:widowControl w:val="0"/>
      <w:autoSpaceDE w:val="0"/>
      <w:autoSpaceDN w:val="0"/>
      <w:adjustRightInd w:val="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145"/>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Grid1">
    <w:name w:val="Light Grid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List1">
    <w:name w:val="Light List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9">
    <w:name w:val="29"/>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4">
    <w:name w:val="144"/>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43">
    <w:name w:val="143"/>
    <w:rsid w:val="008E3599"/>
    <w:pPr>
      <w:widowControl w:val="0"/>
      <w:autoSpaceDE w:val="0"/>
      <w:autoSpaceDN w:val="0"/>
      <w:adjustRightInd w:val="0"/>
    </w:pPr>
    <w:rPr>
      <w:rFonts w:eastAsia="Calibri"/>
      <w:sz w:val="24"/>
      <w:szCs w:val="24"/>
    </w:rPr>
    <w:tblPr>
      <w:tblBorders>
        <w:top w:val="single" w:sz="8" w:space="0" w:color="008000"/>
        <w:bottom w:val="single" w:sz="8" w:space="0" w:color="008000"/>
      </w:tblBorders>
      <w:tblCellMar>
        <w:top w:w="0" w:type="dxa"/>
        <w:left w:w="108" w:type="dxa"/>
        <w:bottom w:w="0" w:type="dxa"/>
        <w:right w:w="108" w:type="dxa"/>
      </w:tblCellMar>
    </w:tblPr>
  </w:style>
  <w:style w:type="table" w:customStyle="1" w:styleId="LightList-Accent22">
    <w:name w:val="Light List - Accent 22"/>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2">
    <w:name w:val="Light Shading - Accent 42"/>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2">
    <w:name w:val="Light Grid - Accent 62"/>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42">
    <w:name w:val="142"/>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291">
    <w:name w:val="291"/>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1">
    <w:name w:val="141"/>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23">
    <w:name w:val="Light List - Accent 23"/>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3">
    <w:name w:val="Light Shading - Accent 43"/>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
    <w:name w:val="Light Grid - Accent 63"/>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2">
    <w:name w:val="Light Shading2"/>
    <w:rsid w:val="008E3599"/>
    <w:rPr>
      <w:rFonts w:ascii="Calibri" w:eastAsia="Calibri" w:hAnsi="Calibri"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231">
    <w:name w:val="Light List - Accent 231"/>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Accent611">
    <w:name w:val="Light List - Accent 611"/>
    <w:rsid w:val="008E3599"/>
    <w:rPr>
      <w:rFonts w:ascii="NikoshBAN" w:eastAsia="Calibri" w:hAnsi="NikoshBAN" w:cs="NikoshBAN"/>
      <w:b/>
      <w:bCs/>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Shading-Accent431">
    <w:name w:val="Light Shading - Accent 431"/>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1">
    <w:name w:val="Light Grid - Accent 631"/>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Accent211">
    <w:name w:val="Light Shading - Accent 211"/>
    <w:rsid w:val="008E3599"/>
    <w:rPr>
      <w:rFonts w:ascii="Calibri" w:eastAsia="Calibri" w:hAnsi="Calibri" w:cs="Calibri"/>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rsid w:val="008E3599"/>
    <w:rPr>
      <w:rFonts w:ascii="Calibri" w:eastAsia="Calibri" w:hAnsi="Calibri" w:cs="Calibri"/>
      <w:color w:val="31849B"/>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
    <w:name w:val="Light Shading - Accent 311"/>
    <w:rsid w:val="008E3599"/>
    <w:rPr>
      <w:rFonts w:ascii="Calibri" w:eastAsia="Calibri" w:hAnsi="Calibri" w:cs="Calibri"/>
      <w:b/>
      <w:bCs/>
      <w:color w:val="76923C"/>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character" w:customStyle="1" w:styleId="BalloonTextChar2">
    <w:name w:val="Balloon Text Char2"/>
    <w:basedOn w:val="DefaultParagraphFont"/>
    <w:semiHidden/>
    <w:locked/>
    <w:rsid w:val="008E3599"/>
    <w:rPr>
      <w:rFonts w:ascii="Tahoma" w:hAnsi="Tahoma" w:cs="Tahoma"/>
      <w:sz w:val="16"/>
      <w:szCs w:val="16"/>
    </w:rPr>
  </w:style>
  <w:style w:type="paragraph" w:customStyle="1" w:styleId="TableParagraph">
    <w:name w:val="Table Paragraph"/>
    <w:basedOn w:val="Normal"/>
    <w:uiPriority w:val="1"/>
    <w:qFormat/>
    <w:rsid w:val="004713EA"/>
    <w:pPr>
      <w:widowControl w:val="0"/>
      <w:autoSpaceDE w:val="0"/>
      <w:autoSpaceDN w:val="0"/>
    </w:pPr>
    <w:rPr>
      <w:sz w:val="22"/>
      <w:szCs w:val="22"/>
    </w:rPr>
  </w:style>
  <w:style w:type="paragraph" w:customStyle="1" w:styleId="first-para">
    <w:name w:val="first-para"/>
    <w:basedOn w:val="Normal"/>
    <w:uiPriority w:val="99"/>
    <w:rsid w:val="00CC2E72"/>
    <w:pPr>
      <w:spacing w:before="100" w:beforeAutospacing="1" w:after="100" w:afterAutospacing="1"/>
    </w:pPr>
  </w:style>
  <w:style w:type="character" w:customStyle="1" w:styleId="MTEquationSection">
    <w:name w:val="MTEquationSection"/>
    <w:basedOn w:val="DefaultParagraphFont"/>
    <w:rsid w:val="00CC2E72"/>
    <w:rPr>
      <w:rFonts w:ascii="Times New Roman" w:hAnsi="Times New Roman" w:cs="Times New Roman"/>
      <w:b/>
      <w:bCs/>
      <w:vanish/>
      <w:color w:val="FF0000"/>
      <w:sz w:val="28"/>
      <w:szCs w:val="28"/>
    </w:rPr>
  </w:style>
  <w:style w:type="character" w:customStyle="1" w:styleId="MTConvertedEquation">
    <w:name w:val="MTConvertedEquation"/>
    <w:basedOn w:val="DefaultParagraphFont"/>
    <w:rsid w:val="00CC2E72"/>
    <w:rPr>
      <w:rFonts w:ascii="Times New Roman" w:hAnsi="Times New Roman" w:cs="Times New Roman"/>
      <w:sz w:val="24"/>
      <w:szCs w:val="24"/>
    </w:rPr>
  </w:style>
  <w:style w:type="character" w:styleId="HTMLCode">
    <w:name w:val="HTML Code"/>
    <w:basedOn w:val="DefaultParagraphFont"/>
    <w:uiPriority w:val="99"/>
    <w:unhideWhenUsed/>
    <w:rsid w:val="00CC2E72"/>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CC2E72"/>
    <w:rPr>
      <w:color w:val="605E5C"/>
      <w:shd w:val="clear" w:color="auto" w:fill="E1DFDD"/>
    </w:rPr>
  </w:style>
  <w:style w:type="character" w:customStyle="1" w:styleId="hlfld-contribauthor">
    <w:name w:val="hlfld-contribauthor"/>
    <w:basedOn w:val="DefaultParagraphFont"/>
    <w:rsid w:val="00AC143F"/>
  </w:style>
  <w:style w:type="character" w:customStyle="1" w:styleId="nlmgiven-names">
    <w:name w:val="nlm_given-names"/>
    <w:basedOn w:val="DefaultParagraphFont"/>
    <w:rsid w:val="00AC143F"/>
  </w:style>
  <w:style w:type="character" w:customStyle="1" w:styleId="nlmarticle-title">
    <w:name w:val="nlm_article-title"/>
    <w:basedOn w:val="DefaultParagraphFont"/>
    <w:rsid w:val="00AC143F"/>
  </w:style>
  <w:style w:type="character" w:customStyle="1" w:styleId="nlmyear">
    <w:name w:val="nlm_year"/>
    <w:basedOn w:val="DefaultParagraphFont"/>
    <w:rsid w:val="00AC143F"/>
  </w:style>
  <w:style w:type="character" w:customStyle="1" w:styleId="nlmfpage">
    <w:name w:val="nlm_fpage"/>
    <w:basedOn w:val="DefaultParagraphFont"/>
    <w:rsid w:val="00AC143F"/>
  </w:style>
  <w:style w:type="character" w:customStyle="1" w:styleId="nlmlpage">
    <w:name w:val="nlm_lpage"/>
    <w:basedOn w:val="DefaultParagraphFont"/>
    <w:rsid w:val="00AC143F"/>
  </w:style>
  <w:style w:type="character" w:customStyle="1" w:styleId="UnresolvedMention3">
    <w:name w:val="Unresolved Mention3"/>
    <w:basedOn w:val="DefaultParagraphFont"/>
    <w:uiPriority w:val="99"/>
    <w:semiHidden/>
    <w:unhideWhenUsed/>
    <w:rsid w:val="0079299B"/>
    <w:rPr>
      <w:color w:val="605E5C"/>
      <w:shd w:val="clear" w:color="auto" w:fill="E1DFDD"/>
    </w:rPr>
  </w:style>
  <w:style w:type="table" w:customStyle="1" w:styleId="TableGrid0">
    <w:name w:val="TableGrid"/>
    <w:rsid w:val="005821DF"/>
    <w:rPr>
      <w:rFonts w:asciiTheme="minorHAnsi" w:eastAsiaTheme="minorEastAsia" w:hAnsiTheme="minorHAnsi" w:cstheme="minorBidi"/>
      <w:sz w:val="22"/>
      <w:szCs w:val="28"/>
      <w:lang w:val="en-GB" w:eastAsia="en-GB" w:bidi="bn-BD"/>
    </w:rPr>
    <w:tblPr>
      <w:tblCellMar>
        <w:top w:w="0" w:type="dxa"/>
        <w:left w:w="0" w:type="dxa"/>
        <w:bottom w:w="0" w:type="dxa"/>
        <w:right w:w="0" w:type="dxa"/>
      </w:tblCellMar>
    </w:tblPr>
  </w:style>
  <w:style w:type="character" w:customStyle="1" w:styleId="gnd-iwgdh3b">
    <w:name w:val="gnd-iwgdh3b"/>
    <w:basedOn w:val="DefaultParagraphFont"/>
    <w:rsid w:val="005821DF"/>
  </w:style>
  <w:style w:type="paragraph" w:styleId="Bibliography">
    <w:name w:val="Bibliography"/>
    <w:basedOn w:val="Normal"/>
    <w:next w:val="Normal"/>
    <w:uiPriority w:val="37"/>
    <w:unhideWhenUsed/>
    <w:rsid w:val="005821DF"/>
    <w:pPr>
      <w:spacing w:after="200" w:line="276" w:lineRule="auto"/>
    </w:pPr>
    <w:rPr>
      <w:rFonts w:asciiTheme="minorHAnsi" w:eastAsiaTheme="minorHAnsi" w:hAnsiTheme="minorHAnsi" w:cstheme="minorBidi"/>
      <w:sz w:val="22"/>
      <w:szCs w:val="28"/>
      <w:lang w:val="en-GB" w:bidi="bn-BD"/>
    </w:rPr>
  </w:style>
  <w:style w:type="character" w:customStyle="1" w:styleId="go">
    <w:name w:val="go"/>
    <w:basedOn w:val="DefaultParagraphFont"/>
    <w:rsid w:val="00380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686484">
      <w:bodyDiv w:val="1"/>
      <w:marLeft w:val="0"/>
      <w:marRight w:val="0"/>
      <w:marTop w:val="0"/>
      <w:marBottom w:val="0"/>
      <w:divBdr>
        <w:top w:val="none" w:sz="0" w:space="0" w:color="auto"/>
        <w:left w:val="none" w:sz="0" w:space="0" w:color="auto"/>
        <w:bottom w:val="none" w:sz="0" w:space="0" w:color="auto"/>
        <w:right w:val="none" w:sz="0" w:space="0" w:color="auto"/>
      </w:divBdr>
    </w:div>
    <w:div w:id="20410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86/s12889-022-12632-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S0140-6736(12)60609-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054/DemRes.2020.43.3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111/j.1728-4457.2001.00260.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hsprogram.com" TargetMode="External"/><Relationship Id="rId14" Type="http://schemas.openxmlformats.org/officeDocument/2006/relationships/hyperlink" Target="https://doi.org/10.25133/JPSSv30n3.024"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Goo14</b:Tag>
    <b:SourceType>JournalArticle</b:SourceType>
    <b:Guid>{EDD0BB9B-1599-412E-B423-9A09AA0C2B55}</b:Guid>
    <b:Author>
      <b:Author>
        <b:Corporate>Goodnough, L. T., &amp; Shah, N.</b:Corporate>
      </b:Author>
    </b:Author>
    <b:Title>Evaluation and management of anemia in the elderly</b:Title>
    <b:JournalName>American Journal of Hematology</b:JournalName>
    <b:Year>2014</b:Year>
    <b:Pages>88-96</b:Pages>
    <b:RefOrder>1</b:RefOrder>
  </b:Source>
  <b:Source>
    <b:Tag>Bao19</b:Tag>
    <b:SourceType>JournalArticle</b:SourceType>
    <b:Guid>{8E1FF9C8-7542-448F-A2A8-953D41BBA75E}</b:Guid>
    <b:Author>
      <b:Author>
        <b:Corporate>Bao, Y., Ma, X., Yang, R., Wang, Y., Wang, F., Zhou, J., Wang, T., &amp; Zhao, X</b:Corporate>
      </b:Author>
    </b:Author>
    <b:Title>Association between red blood cell distribution width and all-cause mortality in patients with cardiovascular disease: a systematic review and meta-analysis of cohort studies</b:Title>
    <b:JournalName>Journal of Clinical Laboratory Analysis</b:JournalName>
    <b:Year>2019</b:Year>
    <b:RefOrder>2</b:RefOrder>
  </b:Source>
  <b:Source>
    <b:Tag>Men20</b:Tag>
    <b:SourceType>JournalArticle</b:SourceType>
    <b:Guid>{36AA2572-4903-431D-B00C-EFAFD063145C}</b:Guid>
    <b:Author>
      <b:Author>
        <b:Corporate>Menter, T., Frey, N., Zoller, H., Steiner, D., Staub, D., &amp; Mattle, H. P.</b:Corporate>
      </b:Author>
    </b:Author>
    <b:Title>Association between platelet count and spontaneous intracerebral hemorrhage: systematic review and meta-analysis</b:Title>
    <b:JournalName> Journal of Stroke and Cerebrovascular Diseases</b:JournalName>
    <b:Year>2020</b:Year>
    <b:RefOrder>3</b:RefOrder>
  </b:Source>
  <b:Source>
    <b:Tag>LiJ20</b:Tag>
    <b:SourceType>JournalArticle</b:SourceType>
    <b:Guid>{1FDFE455-51C1-481A-A5F9-B4D43679FFD7}</b:Guid>
    <b:Author>
      <b:Author>
        <b:Corporate>Li, J., Li, G., Wang, Y., Li, H., Li, X., Guan, J., ... &amp; Zhuang, J</b:Corporate>
      </b:Author>
    </b:Author>
    <b:Title>Association of platelet count with white blood cell count and non-alcoholic fatty liver disease in the general population: a cross-sectional study</b:Title>
    <b:JournalName>BMJ Open</b:JournalName>
    <b:Year>2020</b:Year>
    <b:RefOrder>4</b:RefOrder>
  </b:Source>
  <b:Source>
    <b:Tag>Cam131</b:Tag>
    <b:SourceType>JournalArticle</b:SourceType>
    <b:Guid>{145B20BA-D44E-41F8-AF53-4345A790495F}</b:Guid>
    <b:Author>
      <b:Author>
        <b:Corporate>Cameron, A. C., &amp; Trivedi, P. K.</b:Corporate>
      </b:Author>
    </b:Author>
    <b:Title>Regression analysis of count data</b:Title>
    <b:JournalName>Cambridge University Press</b:JournalName>
    <b:Year>2013</b:Year>
    <b:RefOrder>5</b:RefOrder>
  </b:Source>
  <b:Source>
    <b:Tag>Wie14</b:Tag>
    <b:SourceType>JournalArticle</b:SourceType>
    <b:Guid>{0FC4F25E-E3D4-4A9C-AA45-C57DC7E07D47}</b:Guid>
    <b:Author>
      <b:Author>
        <b:Corporate>Wieringa, J. W., &amp; Geskus, R. B.</b:Corporate>
      </b:Author>
    </b:Author>
    <b:Title>A tutorial on mixed-effects regression models for longitudinal count data.</b:Title>
    <b:Year>2014</b:Year>
    <b:Publisher>International Journal of Epidemiology</b:Publisher>
    <b:JournalName>International Journal of Epidemiology.</b:JournalName>
    <b:Pages>456-467</b:Pages>
    <b:RefOrder>6</b:RefOrder>
  </b:Source>
  <b:Source>
    <b:Tag>McF19</b:Tag>
    <b:SourceType>JournalArticle</b:SourceType>
    <b:Guid>{99B18FBC-BE4A-4880-A254-CB8EE05D2625}</b:Guid>
    <b:Author>
      <b:Author>
        <b:Corporate>McFadden, S. L., &amp; Sternberg, J. C.</b:Corporate>
      </b:Author>
    </b:Author>
    <b:Title>Count models in epidemiology.</b:Title>
    <b:JournalName>Journal of Epidemiology and Community Health</b:JournalName>
    <b:Year>2019</b:Year>
    <b:Pages>952-958</b:Pages>
    <b:RefOrder>7</b:RefOrder>
  </b:Source>
  <b:Source>
    <b:Tag>Liu20</b:Tag>
    <b:SourceType>JournalArticle</b:SourceType>
    <b:Guid>{52372029-3F9C-4A86-9AF8-A0459DEA4DBA}</b:Guid>
    <b:Author>
      <b:Author>
        <b:Corporate>Liu et al.</b:Corporate>
      </b:Author>
    </b:Author>
    <b:Title>Association of Platelet Count with Mortality in COVID-19 Patients: Retrospective Cohort Study</b:Title>
    <b:JournalName>The Journal of Thrombosis and Haemostasis.</b:JournalName>
    <b:Year>2020</b:Year>
    <b:RefOrder>8</b:RefOrder>
  </b:Source>
  <b:Source>
    <b:Tag>Cam13</b:Tag>
    <b:SourceType>Book</b:SourceType>
    <b:Guid>{A57C6FF9-58A2-49CC-B8C1-EE996E857C1E}</b:Guid>
    <b:Author>
      <b:Author>
        <b:Corporate>Cameron, A. C., &amp; Trivedi, P. K.</b:Corporate>
      </b:Author>
    </b:Author>
    <b:Title>Regression analysis of count data</b:Title>
    <b:Year>2013</b:Year>
    <b:Publisher>Cambridge University Press.</b:Publisher>
    <b:RefOrder>9</b:RefOrder>
  </b:Source>
  <b:Source>
    <b:Tag>Hil14</b:Tag>
    <b:SourceType>Book</b:SourceType>
    <b:Guid>{E2E2F8AC-21EA-40BC-A2F2-BA73B4997E8D}</b:Guid>
    <b:Title>Modeling count data.</b:Title>
    <b:Year>2014</b:Year>
    <b:Author>
      <b:Author>
        <b:Corporate>Hilbe, J. M.</b:Corporate>
      </b:Author>
    </b:Author>
    <b:Publisher>Cambridge University Press.</b:Publisher>
    <b:RefOrder>10</b:RefOrder>
  </b:Source>
  <b:Source>
    <b:Tag>Zei08</b:Tag>
    <b:SourceType>JournalArticle</b:SourceType>
    <b:Guid>{6A7645A2-747B-4DC2-81B2-C3C965D48CB7}</b:Guid>
    <b:Title>Regression models for count data in R</b:Title>
    <b:Year>2008</b:Year>
    <b:Author>
      <b:Author>
        <b:Corporate>Zeileis, A., Kleiber, C., &amp; Jackman, S.</b:Corporate>
      </b:Author>
    </b:Author>
    <b:JournalName>Journal of Statistical Software</b:JournalName>
    <b:Pages>1-25.</b:Pages>
    <b:RefOrder>11</b:RefOrder>
  </b:Source>
  <b:Source>
    <b:Tag>Bur04</b:Tag>
    <b:SourceType>JournalArticle</b:SourceType>
    <b:Guid>{11ABB721-3873-4F15-BA96-8A26FEEA2E53}</b:Guid>
    <b:Author>
      <b:Author>
        <b:Corporate>Burnham, K. P., &amp; Anderson, D. R.</b:Corporate>
      </b:Author>
    </b:Author>
    <b:Title>Multimodel inference: understanding AIC and BIC in model selection. </b:Title>
    <b:JournalName>Sociological Methods &amp; Research</b:JournalName>
    <b:Year>2004</b:Year>
    <b:Pages> 261-304.</b:Pages>
    <b:RefOrder>12</b:RefOrder>
  </b:Source>
  <b:Source>
    <b:Tag>Kon08</b:Tag>
    <b:SourceType>JournalArticle</b:SourceType>
    <b:Guid>{8D7E345E-10FB-4F7D-905E-91E1A7193590}</b:Guid>
    <b:Author>
      <b:Author>
        <b:Corporate>Konishi, S., &amp; Kitagawa, G</b:Corporate>
      </b:Author>
    </b:Author>
    <b:Title>Information criteria and statistical modeling.</b:Title>
    <b:JournalName>Springer Science &amp; Business Media.</b:JournalName>
    <b:Year>2008</b:Year>
    <b:RefOrder>13</b:RefOrder>
  </b:Source>
  <b:Source>
    <b:Tag>Zou041</b:Tag>
    <b:SourceType>JournalArticle</b:SourceType>
    <b:Guid>{3323A263-9D40-47E3-993F-1A38FC150987}</b:Guid>
    <b:Author>
      <b:Author>
        <b:Corporate>Zou, G. </b:Corporate>
      </b:Author>
    </b:Author>
    <b:Title>A modified Poisson regression approach to prospective studies with binary data.</b:Title>
    <b:JournalName>American Journal of Epidemiology</b:JournalName>
    <b:Year>2004</b:Year>
    <b:Pages>702-706.</b:Pages>
    <b:RefOrder>14</b:RefOrder>
  </b:Source>
  <b:Source>
    <b:Tag>Fer04</b:Tag>
    <b:SourceType>JournalArticle</b:SourceType>
    <b:Guid>{E132543E-C0DF-484A-93F0-456FCE5AC2B4}</b:Guid>
    <b:Author>
      <b:Author>
        <b:Corporate>Ferrari, S. L., &amp; Cribari-Neto, F.</b:Corporate>
      </b:Author>
    </b:Author>
    <b:Title>Beta regression for modelling rates and proportions.</b:Title>
    <b:JournalName>Journal of Applied Statistics</b:JournalName>
    <b:Year>2004</b:Year>
    <b:Pages>799-815</b:Pages>
    <b:RefOrder>15</b:RefOrder>
  </b:Source>
  <b:Source>
    <b:Tag>McC18</b:Tag>
    <b:SourceType>Book</b:SourceType>
    <b:Guid>{DCE9C7A5-2656-4CA0-B0B7-5A7446EA1C43}</b:Guid>
    <b:Title>Generalized linear models</b:Title>
    <b:Year>2018</b:Year>
    <b:Author>
      <b:Author>
        <b:Corporate>McCullagh, P</b:Corporate>
      </b:Author>
    </b:Author>
    <b:Publisher>Routledge</b:Publisher>
    <b:RefOrder>17</b:RefOrder>
  </b:Source>
  <b:Source>
    <b:Tag>Zhe19</b:Tag>
    <b:SourceType>JournalArticle</b:SourceType>
    <b:Guid>{2002C3DE-98DD-4BD4-858A-7003CCDCD0FA}</b:Guid>
    <b:Author>
      <b:Author>
        <b:Corporate>Zheng, C., Li, X., Chen, Y., Wang, J., Sun, L., &amp; Zhang, J.</b:Corporate>
      </b:Author>
    </b:Author>
    <b:Title>Associations of Blood Glucose and Hemoglobin A1c Levels with Cardiovascular Disease Risk Factors among Chinese Adults</b:Title>
    <b:JournalName>International Journal of Environmental Research and Public Health</b:JournalName>
    <b:Year>2019</b:Year>
    <b:Pages>1659</b:Pages>
    <b:RefOrder>18</b:RefOrder>
  </b:Source>
  <b:Source>
    <b:Tag>Ban06</b:Tag>
    <b:SourceType>JournalArticle</b:SourceType>
    <b:Guid>{44B164DC-642A-4924-89E8-AB2A0D93D49E}</b:Guid>
    <b:Author>
      <b:Author>
        <b:Corporate>Banbury, M. K., Brizzio, M. E., Rajeswaran, J., Lytle, B. W., &amp; Blackstone, E. H</b:Corporate>
      </b:Author>
    </b:Author>
    <b:Title>Transfusion increases the risk of postoperative infection after cardiovascular surgery.</b:Title>
    <b:Year>2006</b:Year>
    <b:JournalName>Journal of the American College of Surgeons</b:JournalName>
    <b:Pages>131-138</b:Pages>
    <b:RefOrder>16</b:RefOrder>
  </b:Source>
  <b:Source>
    <b:Tag>Zou04</b:Tag>
    <b:SourceType>JournalArticle</b:SourceType>
    <b:Guid>{DFFC6EB7-8AF5-49B3-9ED8-7905DEAE7698}</b:Guid>
    <b:Author>
      <b:Author>
        <b:Corporate>Zou, G.</b:Corporate>
      </b:Author>
    </b:Author>
    <b:Title>A modified poisson regression approach to prospective studies with binary data.</b:Title>
    <b:JournalName>American journal of epidemiology</b:JournalName>
    <b:Year>2004</b:Year>
    <b:Pages>702-706.</b:Pages>
    <b:RefOrder>19</b:RefOrder>
  </b:Source>
  <b:Source>
    <b:Tag>Zei081</b:Tag>
    <b:SourceType>JournalArticle</b:SourceType>
    <b:Guid>{9E62BEA5-95BD-4A54-8D73-6AE63DA18BD5}</b:Guid>
    <b:Author>
      <b:Author>
        <b:Corporate>Zeileis, A., Kleiber, C. and Jackman, S.</b:Corporate>
      </b:Author>
    </b:Author>
    <b:Title> Regression Models for Count Data in R.</b:Title>
    <b:JournalName>Journal of Statistical Software</b:JournalName>
    <b:Year>2008</b:Year>
    <b:Pages>1-25</b:Pages>
    <b:RefOrder>20</b:RefOrder>
  </b:Source>
  <b:Source>
    <b:Tag>Smi06</b:Tag>
    <b:SourceType>JournalArticle</b:SourceType>
    <b:Guid>{F1DE1D16-1912-4221-B53E-5267900057E5}</b:Guid>
    <b:Author>
      <b:Author>
        <b:Corporate>Smithson, M. and Verkuilen, J.</b:Corporate>
      </b:Author>
    </b:Author>
    <b:Title>  A Better Lemon Squeezer? Maximum-Likelihood Regression with Beta-Distributed Dependent Variables</b:Title>
    <b:JournalName>Psychological Methods</b:JournalName>
    <b:Year>2006</b:Year>
    <b:Pages>54-71</b:Pages>
    <b:RefOrder>21</b:RefOrder>
  </b:Source>
</b:Sources>
</file>

<file path=customXml/itemProps1.xml><?xml version="1.0" encoding="utf-8"?>
<ds:datastoreItem xmlns:ds="http://schemas.openxmlformats.org/officeDocument/2006/customXml" ds:itemID="{54430320-0AC2-41E5-80AD-D2CE57CF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Moments of Skew Normal Vector Quadratic Froms</vt:lpstr>
    </vt:vector>
  </TitlesOfParts>
  <Company>ju</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Moments of Skew Normal Vector Quadratic Froms</dc:title>
  <dc:creator>rajib</dc:creator>
  <cp:lastModifiedBy>HP</cp:lastModifiedBy>
  <cp:revision>29</cp:revision>
  <cp:lastPrinted>2023-10-04T06:39:00Z</cp:lastPrinted>
  <dcterms:created xsi:type="dcterms:W3CDTF">2023-10-05T04:16:00Z</dcterms:created>
  <dcterms:modified xsi:type="dcterms:W3CDTF">2026-07-22T06:06:00Z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