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2498" w14:textId="77777777" w:rsidR="00CE04DC" w:rsidRPr="00CE04DC" w:rsidRDefault="00CE04DC" w:rsidP="002A6D5B">
      <w:pPr>
        <w:pStyle w:val="NormalWeb"/>
        <w:spacing w:before="0" w:beforeAutospacing="0" w:after="0" w:afterAutospacing="0"/>
        <w:ind w:left="567" w:right="645"/>
        <w:jc w:val="center"/>
        <w:rPr>
          <w:b/>
          <w:bCs/>
          <w:sz w:val="22"/>
          <w:szCs w:val="22"/>
        </w:rPr>
      </w:pPr>
      <w:bookmarkStart w:id="0" w:name="_Toc166993731"/>
      <w:bookmarkStart w:id="1" w:name="_Hlk201662475"/>
      <w:r w:rsidRPr="00CE04DC">
        <w:rPr>
          <w:b/>
          <w:bCs/>
          <w:sz w:val="22"/>
          <w:szCs w:val="22"/>
        </w:rPr>
        <w:t>The Role of Spousal Support in Shaping Mental Health Dynamics Among Working Mothers in Bangladesh</w:t>
      </w:r>
    </w:p>
    <w:p w14:paraId="30B3A181" w14:textId="77777777" w:rsidR="00CE04DC" w:rsidRPr="00321BE4" w:rsidRDefault="00CE04DC" w:rsidP="002A6D5B">
      <w:pPr>
        <w:ind w:left="567" w:right="645"/>
        <w:jc w:val="center"/>
        <w:rPr>
          <w:b/>
          <w:bCs/>
          <w:sz w:val="20"/>
          <w:szCs w:val="20"/>
        </w:rPr>
      </w:pPr>
    </w:p>
    <w:p w14:paraId="764793DF" w14:textId="5049D265" w:rsidR="00CE04DC" w:rsidRPr="00CE04DC" w:rsidRDefault="00CE04DC" w:rsidP="002A6D5B">
      <w:pPr>
        <w:ind w:left="567" w:right="645"/>
        <w:jc w:val="center"/>
        <w:rPr>
          <w:b/>
          <w:bCs/>
          <w:sz w:val="20"/>
          <w:szCs w:val="20"/>
        </w:rPr>
      </w:pPr>
      <w:bookmarkStart w:id="2" w:name="_Hlk169859938"/>
      <w:r w:rsidRPr="00CE04DC">
        <w:rPr>
          <w:b/>
          <w:bCs/>
          <w:sz w:val="20"/>
          <w:szCs w:val="20"/>
        </w:rPr>
        <w:t>Sabina Yasmin</w:t>
      </w:r>
      <w:r>
        <w:rPr>
          <w:rStyle w:val="FootnoteReference"/>
          <w:b/>
          <w:bCs/>
          <w:sz w:val="20"/>
          <w:szCs w:val="20"/>
        </w:rPr>
        <w:footnoteReference w:id="1"/>
      </w:r>
    </w:p>
    <w:p w14:paraId="3300D330" w14:textId="77777777" w:rsidR="00CE04DC" w:rsidRPr="00CE04DC" w:rsidRDefault="00CE04DC" w:rsidP="002A6D5B">
      <w:pPr>
        <w:ind w:left="567" w:right="645"/>
        <w:jc w:val="center"/>
        <w:rPr>
          <w:sz w:val="18"/>
          <w:szCs w:val="18"/>
        </w:rPr>
      </w:pPr>
      <w:r w:rsidRPr="00CE04DC">
        <w:rPr>
          <w:sz w:val="18"/>
          <w:szCs w:val="18"/>
        </w:rPr>
        <w:t>Department of Statistics and Data Science, Jahangirnagar University, Savar, Dhaka, Bangladesh</w:t>
      </w:r>
    </w:p>
    <w:p w14:paraId="41B2B7F9" w14:textId="2C90C9C3" w:rsidR="00CE04DC" w:rsidRDefault="00BB3EDC" w:rsidP="002A6D5B">
      <w:pPr>
        <w:ind w:left="567" w:right="645"/>
        <w:jc w:val="center"/>
        <w:rPr>
          <w:sz w:val="18"/>
          <w:szCs w:val="18"/>
        </w:rPr>
      </w:pPr>
      <w:r w:rsidRPr="00BB3EDC">
        <w:rPr>
          <w:sz w:val="18"/>
          <w:szCs w:val="18"/>
        </w:rPr>
        <w:t>ORCID ID: 0000-0002-1917-2692</w:t>
      </w:r>
    </w:p>
    <w:p w14:paraId="15A46550" w14:textId="77777777" w:rsidR="00BB3EDC" w:rsidRPr="00BB3EDC" w:rsidRDefault="00BB3EDC" w:rsidP="002A6D5B">
      <w:pPr>
        <w:ind w:left="567" w:right="645"/>
        <w:jc w:val="center"/>
        <w:rPr>
          <w:sz w:val="18"/>
          <w:szCs w:val="18"/>
        </w:rPr>
      </w:pPr>
    </w:p>
    <w:p w14:paraId="004895A4" w14:textId="77777777" w:rsidR="00CE04DC" w:rsidRPr="00CE04DC" w:rsidRDefault="00CE04DC" w:rsidP="002A6D5B">
      <w:pPr>
        <w:ind w:left="567" w:right="645"/>
        <w:jc w:val="center"/>
        <w:rPr>
          <w:b/>
          <w:bCs/>
          <w:sz w:val="20"/>
          <w:szCs w:val="20"/>
          <w:vertAlign w:val="superscript"/>
        </w:rPr>
      </w:pPr>
      <w:r w:rsidRPr="00CE04DC">
        <w:rPr>
          <w:b/>
          <w:bCs/>
          <w:sz w:val="20"/>
          <w:szCs w:val="20"/>
        </w:rPr>
        <w:t>Muhammad Khairul Alam</w:t>
      </w:r>
    </w:p>
    <w:p w14:paraId="7BA1614F" w14:textId="77777777" w:rsidR="00CE04DC" w:rsidRDefault="00CE04DC" w:rsidP="002A6D5B">
      <w:pPr>
        <w:ind w:left="567" w:right="645"/>
        <w:jc w:val="center"/>
        <w:rPr>
          <w:sz w:val="18"/>
          <w:szCs w:val="18"/>
        </w:rPr>
      </w:pPr>
      <w:r w:rsidRPr="00CE04DC">
        <w:rPr>
          <w:sz w:val="18"/>
          <w:szCs w:val="18"/>
        </w:rPr>
        <w:t>Department of Statistics and Data Science, Jahangirnagar University, Savar, Dhaka, Bangladesh</w:t>
      </w:r>
    </w:p>
    <w:p w14:paraId="4247B117" w14:textId="536189AF" w:rsidR="00BB3EDC" w:rsidRPr="00CE04DC" w:rsidRDefault="00BB3EDC" w:rsidP="002A6D5B">
      <w:pPr>
        <w:ind w:left="567" w:right="645"/>
        <w:jc w:val="center"/>
        <w:rPr>
          <w:sz w:val="18"/>
          <w:szCs w:val="18"/>
        </w:rPr>
      </w:pPr>
      <w:r w:rsidRPr="00BB3EDC">
        <w:rPr>
          <w:sz w:val="18"/>
          <w:szCs w:val="18"/>
        </w:rPr>
        <w:t>ORCID ID: 0000-0002-4803-2648</w:t>
      </w:r>
    </w:p>
    <w:p w14:paraId="791EFE65" w14:textId="77777777" w:rsidR="00CE04DC" w:rsidRPr="00321BE4" w:rsidRDefault="00CE04DC" w:rsidP="002A6D5B">
      <w:pPr>
        <w:ind w:left="567" w:right="645"/>
        <w:jc w:val="center"/>
        <w:rPr>
          <w:sz w:val="20"/>
          <w:szCs w:val="20"/>
        </w:rPr>
      </w:pPr>
    </w:p>
    <w:p w14:paraId="6A510825" w14:textId="41901A32" w:rsidR="00CE04DC" w:rsidRDefault="00CE04DC" w:rsidP="002A6D5B">
      <w:pPr>
        <w:ind w:left="567" w:right="645"/>
        <w:jc w:val="center"/>
        <w:rPr>
          <w:b/>
          <w:bCs/>
          <w:sz w:val="20"/>
          <w:szCs w:val="20"/>
        </w:rPr>
      </w:pPr>
      <w:r>
        <w:rPr>
          <w:b/>
          <w:bCs/>
          <w:sz w:val="20"/>
          <w:szCs w:val="20"/>
        </w:rPr>
        <w:t>and</w:t>
      </w:r>
    </w:p>
    <w:p w14:paraId="35126A18" w14:textId="7ABE1C4F" w:rsidR="00CE04DC" w:rsidRPr="00CE04DC" w:rsidRDefault="00CE04DC" w:rsidP="002A6D5B">
      <w:pPr>
        <w:ind w:left="567" w:right="645"/>
        <w:jc w:val="center"/>
        <w:rPr>
          <w:b/>
          <w:bCs/>
          <w:sz w:val="20"/>
          <w:szCs w:val="20"/>
          <w:vertAlign w:val="superscript"/>
        </w:rPr>
      </w:pPr>
      <w:r w:rsidRPr="00CE04DC">
        <w:rPr>
          <w:b/>
          <w:bCs/>
          <w:sz w:val="20"/>
          <w:szCs w:val="20"/>
        </w:rPr>
        <w:t>Mohammed Nazmul Huq</w:t>
      </w:r>
    </w:p>
    <w:p w14:paraId="1E7CE8DF" w14:textId="77777777" w:rsidR="00CE04DC" w:rsidRDefault="00CE04DC" w:rsidP="002A6D5B">
      <w:pPr>
        <w:ind w:left="567" w:right="645"/>
        <w:jc w:val="center"/>
        <w:rPr>
          <w:sz w:val="18"/>
          <w:szCs w:val="18"/>
        </w:rPr>
      </w:pPr>
      <w:r w:rsidRPr="00CE04DC">
        <w:rPr>
          <w:sz w:val="18"/>
          <w:szCs w:val="18"/>
        </w:rPr>
        <w:t>Department of Statistics and Data Science, Jahangirnagar University, Savar, Dhaka, Bangladesh</w:t>
      </w:r>
    </w:p>
    <w:p w14:paraId="328075A5" w14:textId="03995EF8" w:rsidR="00BB3EDC" w:rsidRPr="00CE04DC" w:rsidRDefault="00BB3EDC" w:rsidP="002A6D5B">
      <w:pPr>
        <w:ind w:left="567" w:right="645"/>
        <w:jc w:val="center"/>
        <w:rPr>
          <w:sz w:val="18"/>
          <w:szCs w:val="18"/>
        </w:rPr>
      </w:pPr>
      <w:r w:rsidRPr="00BB3EDC">
        <w:rPr>
          <w:sz w:val="18"/>
          <w:szCs w:val="18"/>
        </w:rPr>
        <w:t>ORCID ID: 0000-0003-4456-6041</w:t>
      </w:r>
    </w:p>
    <w:bookmarkEnd w:id="2"/>
    <w:p w14:paraId="38FE77CC" w14:textId="77777777" w:rsidR="00CE04DC" w:rsidRPr="00321BE4" w:rsidRDefault="00CE04DC" w:rsidP="002A6D5B">
      <w:pPr>
        <w:ind w:left="567" w:right="645"/>
        <w:rPr>
          <w:sz w:val="20"/>
          <w:szCs w:val="20"/>
          <w:vertAlign w:val="superscript"/>
        </w:rPr>
      </w:pPr>
    </w:p>
    <w:p w14:paraId="2E61021E" w14:textId="77777777" w:rsidR="00CE04DC" w:rsidRPr="002A6D5B" w:rsidRDefault="00CE04DC" w:rsidP="002A6D5B">
      <w:pPr>
        <w:ind w:left="567" w:right="645"/>
        <w:jc w:val="center"/>
        <w:rPr>
          <w:b/>
          <w:bCs/>
          <w:sz w:val="18"/>
          <w:szCs w:val="18"/>
        </w:rPr>
      </w:pPr>
      <w:r w:rsidRPr="002A6D5B">
        <w:rPr>
          <w:b/>
          <w:bCs/>
          <w:sz w:val="18"/>
          <w:szCs w:val="18"/>
        </w:rPr>
        <w:t>Abstract</w:t>
      </w:r>
      <w:bookmarkEnd w:id="0"/>
    </w:p>
    <w:p w14:paraId="1BA5FCE2" w14:textId="77777777" w:rsidR="002A6D5B" w:rsidRPr="002A6D5B" w:rsidRDefault="002A6D5B" w:rsidP="002A6D5B">
      <w:pPr>
        <w:ind w:left="567" w:right="645"/>
        <w:jc w:val="center"/>
        <w:rPr>
          <w:b/>
          <w:bCs/>
          <w:sz w:val="18"/>
          <w:szCs w:val="18"/>
        </w:rPr>
      </w:pPr>
    </w:p>
    <w:p w14:paraId="5A9B1522" w14:textId="77777777" w:rsidR="00CE04DC" w:rsidRPr="002A6D5B" w:rsidRDefault="00CE04DC" w:rsidP="002A6D5B">
      <w:pPr>
        <w:ind w:left="567" w:right="645"/>
        <w:jc w:val="both"/>
        <w:rPr>
          <w:sz w:val="18"/>
          <w:szCs w:val="18"/>
        </w:rPr>
      </w:pPr>
      <w:r w:rsidRPr="002A6D5B">
        <w:rPr>
          <w:sz w:val="18"/>
          <w:szCs w:val="18"/>
        </w:rPr>
        <w:t>The mental health status of working mothers plays a critical role in a child’s upbringing due to its profound influence on various aspects of child development. This research examines the effects of stress, depression, and spousal support on working mothers’ lives. This cross-sectional study includes 275 participants to analyze these behavioral tendencies. Measurement methods were validated through exploratory factor analysis (EFA) and item response theory (IRT), while the interdependence of constructs and the efficacy of the chosen indicators were assessed using confirmatory factor analysis (CFA) and structural equation modeling (SEM). Our research reveals a positive relationship between depression and the stress faced by working mothers. Spousal support is inversely connected with both stress and depression. The research highlights the key role of partner support in alleviating mental health difficulties for working mothers. Consequently, strengthening the family support system for working mothers has become essential to alleviate their psychological stress. Enhancing early identification and treatment can be achieved by increasing spousal engagement and establishing mental health awareness programs.</w:t>
      </w:r>
    </w:p>
    <w:p w14:paraId="0A86AA32" w14:textId="77777777" w:rsidR="00CE04DC" w:rsidRPr="002A6D5B" w:rsidRDefault="00CE04DC" w:rsidP="002A6D5B">
      <w:pPr>
        <w:ind w:left="567" w:right="645"/>
        <w:jc w:val="both"/>
        <w:rPr>
          <w:sz w:val="18"/>
          <w:szCs w:val="18"/>
        </w:rPr>
      </w:pPr>
    </w:p>
    <w:p w14:paraId="6B3C08C4" w14:textId="77777777" w:rsidR="00CE04DC" w:rsidRPr="002A6D5B" w:rsidRDefault="00CE04DC" w:rsidP="002A6D5B">
      <w:pPr>
        <w:ind w:left="567" w:right="645"/>
        <w:rPr>
          <w:sz w:val="18"/>
          <w:szCs w:val="18"/>
        </w:rPr>
      </w:pPr>
      <w:r w:rsidRPr="002A6D5B">
        <w:rPr>
          <w:b/>
          <w:bCs/>
          <w:sz w:val="18"/>
          <w:szCs w:val="18"/>
        </w:rPr>
        <w:t xml:space="preserve">Keywords: </w:t>
      </w:r>
      <w:r w:rsidRPr="002A6D5B">
        <w:rPr>
          <w:sz w:val="18"/>
          <w:szCs w:val="18"/>
        </w:rPr>
        <w:t>Confirmatory Factor Analysis</w:t>
      </w:r>
      <w:r w:rsidRPr="002A6D5B">
        <w:rPr>
          <w:b/>
          <w:bCs/>
          <w:sz w:val="18"/>
          <w:szCs w:val="18"/>
        </w:rPr>
        <w:t xml:space="preserve">; </w:t>
      </w:r>
      <w:r w:rsidRPr="002A6D5B">
        <w:rPr>
          <w:sz w:val="18"/>
          <w:szCs w:val="18"/>
        </w:rPr>
        <w:t>Depression; Mental Health; Spousal Support; Stress; Structural Equation Model</w:t>
      </w:r>
    </w:p>
    <w:p w14:paraId="792947C7" w14:textId="77777777" w:rsidR="00CE04DC" w:rsidRPr="002A6D5B" w:rsidRDefault="00CE04DC" w:rsidP="00CE04DC">
      <w:pPr>
        <w:rPr>
          <w:sz w:val="20"/>
          <w:szCs w:val="20"/>
        </w:rPr>
      </w:pPr>
    </w:p>
    <w:p w14:paraId="3FB391CF" w14:textId="77777777" w:rsidR="00CE04DC" w:rsidRDefault="00CE04DC" w:rsidP="00CE04DC">
      <w:pPr>
        <w:pStyle w:val="ListParagraph"/>
        <w:numPr>
          <w:ilvl w:val="0"/>
          <w:numId w:val="25"/>
        </w:numPr>
        <w:spacing w:after="0" w:line="240" w:lineRule="auto"/>
        <w:ind w:left="360"/>
        <w:rPr>
          <w:rFonts w:ascii="Times New Roman" w:hAnsi="Times New Roman" w:cs="Times New Roman"/>
          <w:b/>
          <w:bCs/>
          <w:sz w:val="20"/>
          <w:szCs w:val="20"/>
        </w:rPr>
      </w:pPr>
      <w:r w:rsidRPr="00321BE4">
        <w:rPr>
          <w:rFonts w:ascii="Times New Roman" w:hAnsi="Times New Roman" w:cs="Times New Roman"/>
          <w:b/>
          <w:bCs/>
          <w:sz w:val="20"/>
          <w:szCs w:val="20"/>
        </w:rPr>
        <w:t>Introduction</w:t>
      </w:r>
    </w:p>
    <w:p w14:paraId="24428594" w14:textId="77777777" w:rsidR="002A6D5B" w:rsidRPr="00321BE4" w:rsidRDefault="002A6D5B" w:rsidP="002A6D5B">
      <w:pPr>
        <w:pStyle w:val="ListParagraph"/>
        <w:spacing w:after="0" w:line="240" w:lineRule="auto"/>
        <w:ind w:left="360"/>
        <w:rPr>
          <w:rFonts w:ascii="Times New Roman" w:hAnsi="Times New Roman" w:cs="Times New Roman"/>
          <w:b/>
          <w:bCs/>
          <w:sz w:val="20"/>
          <w:szCs w:val="20"/>
        </w:rPr>
      </w:pPr>
    </w:p>
    <w:p w14:paraId="66ED770E" w14:textId="77777777" w:rsidR="00CE04DC" w:rsidRPr="00321BE4" w:rsidRDefault="00CE04DC" w:rsidP="002A6D5B">
      <w:pPr>
        <w:spacing w:line="324" w:lineRule="auto"/>
        <w:jc w:val="both"/>
        <w:rPr>
          <w:sz w:val="20"/>
          <w:szCs w:val="20"/>
        </w:rPr>
      </w:pPr>
      <w:r w:rsidRPr="00321BE4">
        <w:rPr>
          <w:sz w:val="20"/>
          <w:szCs w:val="20"/>
        </w:rPr>
        <w:t xml:space="preserve">The mental health of mothers is pivotal to public health, significantly influencing family and social stability. This issue is especially important in lower-income countries like Bangladesh, where economic constraints and cultural norms shape daily life </w:t>
      </w:r>
      <w:r w:rsidRPr="00321BE4">
        <w:rPr>
          <w:sz w:val="20"/>
          <w:szCs w:val="20"/>
        </w:rPr>
        <w:fldChar w:fldCharType="begin"/>
      </w:r>
      <w:r w:rsidRPr="00321BE4">
        <w:rPr>
          <w:sz w:val="20"/>
          <w:szCs w:val="20"/>
        </w:rPr>
        <w:instrText xml:space="preserve"> ADDIN ZOTERO_ITEM CSL_CITATION {"citationID":"So6HJhTn","properties":{"formattedCitation":"(Williams et al., 2018)","plainCitation":"(Williams et al., 2018)","noteIndex":0},"citationItems":[{"id":91,"uris":["http://zotero.org/users/local/66j4yoWm/items/CQB6R9YK"],"itemData":{"id":91,"type":"article-journal","abstract":"Depression is the leading cause of disability worldwide, yet in many cultures, it remains unaddressed and unacknowledged. Postpartum depression is particularly  delicate because of its association with gender and expectations of motherhood.  This ethnographic study in Dhaka, Bangladesh sought to understand local  perceptions of postpartum depression and cultural influences around mental health  care seeking. The results describe the role of culture and stigma in the  conceptualization of mental health within both the community and medical spheres.  Mental health continues to be unacknowledged and neglected in Bangladeshi  communities. We recommend community-based psychosocial programming for new  mothers living in slums.","container-title":"Medical anthropology","DOI":"10.1080/01459740.2017.1318875","ISSN":"1545-5882 0145-9740","issue":"3","journalAbbreviation":"Med Anthropol","language":"eng","note":"publisher-place: United States\nPMID: 28409647","page":"194-205","title":"Cultural Attitudes toward Postpartum Depression in Dhaka, Bangladesh.","volume":"37","author":[{"family":"Williams","given":"Anaise"},{"family":"Sarker","given":"Malabika"},{"family":"Ferdous","given":"Syeda Tahmina"}],"issued":{"date-parts":[["2018",4]]}}}],"schema":"https://github.com/citation-style-language/schema/raw/master/csl-citation.json"} </w:instrText>
      </w:r>
      <w:r w:rsidRPr="00321BE4">
        <w:rPr>
          <w:sz w:val="20"/>
          <w:szCs w:val="20"/>
        </w:rPr>
        <w:fldChar w:fldCharType="separate"/>
      </w:r>
      <w:r w:rsidRPr="00321BE4">
        <w:rPr>
          <w:sz w:val="20"/>
          <w:szCs w:val="20"/>
        </w:rPr>
        <w:t>(Williams et al., 2018;</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{"citationID":"vnBLSNMr","properties":{"formattedCitation":"(Hanlon, 2013)","plainCitation":"(Hanlon, 2013)","noteIndex":0},"citationItems":[{"id":94,"uris":["http://zotero.org/users/local/66j4yoWm/items/DMTGKQ8H"],"itemData":{"id":94,"type":"article-journal","abstract":"Maternal depression is an enormous, neglected public health problem in low- and middle-income countries (LAMICs). Evidence is accumulating to guide intervention,  focused on integrating mental health care into routine maternal and child health  care through a task sharing approach. Key questions around the 'who, what, when,  where and how?' of intervention will be discussed in relation to the existing  evidence base. A great deal of attention is now being paid to maternal health in  LAMICs. By seizing this opportunity to also attend to maternal mental health  care, important public health gains can be made for both the mother and her  children.","container-title":"International health","DOI":"10.1093/inthealth/ihs003","ISSN":"1876-3405","issue":"1","journalAbbreviation":"Int Health","language":"eng","note":"publisher-place: England\nPMID: 24029837","page":"4-5","title":"Maternal depression in low- and middle-income countries.","volume":"5","author":[{"family":"Hanlon","given":"Charlotte"}],"issued":{"date-parts":[["2013",3]]}}}],"schema":"https://github.com/citation-style-language/schema/raw/master/csl-citation.json"} </w:instrText>
      </w:r>
      <w:r w:rsidRPr="00321BE4">
        <w:rPr>
          <w:sz w:val="20"/>
          <w:szCs w:val="20"/>
        </w:rPr>
        <w:fldChar w:fldCharType="separate"/>
      </w:r>
      <w:r w:rsidRPr="00321BE4">
        <w:rPr>
          <w:sz w:val="20"/>
          <w:szCs w:val="20"/>
        </w:rPr>
        <w:t xml:space="preserve">Hanlon, </w:t>
      </w:r>
      <w:r w:rsidRPr="00321BE4">
        <w:rPr>
          <w:sz w:val="20"/>
          <w:szCs w:val="20"/>
        </w:rPr>
        <w:lastRenderedPageBreak/>
        <w:t>2013)</w:t>
      </w:r>
      <w:r w:rsidRPr="00321BE4">
        <w:rPr>
          <w:sz w:val="20"/>
          <w:szCs w:val="20"/>
        </w:rPr>
        <w:fldChar w:fldCharType="end"/>
      </w:r>
      <w:r w:rsidRPr="00321BE4">
        <w:rPr>
          <w:sz w:val="20"/>
          <w:szCs w:val="20"/>
        </w:rPr>
        <w:t xml:space="preserve">. Despite growing awareness, the mental health needs of mothers, especially in the context of Spousal support, remain underexplored   </w:t>
      </w:r>
      <w:r w:rsidRPr="00321BE4">
        <w:rPr>
          <w:sz w:val="20"/>
          <w:szCs w:val="20"/>
        </w:rPr>
        <w:fldChar w:fldCharType="begin"/>
      </w:r>
      <w:r w:rsidRPr="00321BE4">
        <w:rPr>
          <w:sz w:val="20"/>
          <w:szCs w:val="20"/>
        </w:rPr>
        <w:instrText xml:space="preserve"> ADDIN ZOTERO_ITEM CSL_CITATION {"citationID":"qaW3Qr3w","properties":{"formattedCitation":"(Naaz et al., 2021)","plainCitation":"(Naaz et al., 2021)","noteIndex":0},"citationItems":[{"id":"SSZb5cTy/ls4wQR0T","uris":["http://zotero.org/users/local/66j4yoWm/items/FETN6LGU"],"itemData":{"id":6,"type":"article-journal","abstract":"BACKGROUND: Maternal mental health problems are one of the major public health challenges. Globally, depression and anxiety cause immense suffering and  disability among mothers who later contribute to compromise parenting practices  and increased unmet needs of their newborn and young children. OBJECTIVES: The  aim of this study is to determine the prevalence and determinants of maternal  common mental disorders (CMDs) among the study population. METHODS: A  community-based cross-sectional study was conducted in Aligarh, Uttar Pradesh,  India, from July 2016 to June 2017, among 415 women of child-bearing age who had  one or more children in the age group of 0-23 months. A World Health Organization  prequalified questionnaire Self-Reporting Questionnaire 20 was used to assess the  CMD of mothers. Binary logistic regression was used for finding out predictors of  mental disorders. RESULTS: Overall prevalence of maternal CMDs was 38.8%. The  prevalence of maternal CMD was significantly higher among mothers in a higher age  group, belonging to low socioeconomic class, nuclear type of family, living in  the urban locality, having lower or no education, being single mothers,  housewives, and having higher parity. CONCLUSION: Substantially, high prevalence  of CMD among mothers suggests for further research to explore the factors  affecting the mental health of mothers. Measures for the early identification,  treatment, and prevention of maternal mental disorders should be taken.","container-title":"Indian journal of public health","DOI":"10.4103/ijph.IJPH_193_20","ISSN":"0019-557X","issue":"1","journalAbbreviation":"Indian J Public Health","language":"eng","note":"publisher-place: India\nPMID: 33753684","page":"16-21","title":"Maternal mental health and its determinants - A community-based cross-sectional study in Aligarh, Uttar Pradesh.","volume":"65","author":[{"family":"Naaz","given":"Nikhat"},{"family":"Mehnaz","given":"Saira"},{"family":"Ansari","given":"M. Athar"},{"family":"Amir","given":"Ali"}],"issued":{"date-parts":[["2021",3]]}}}],"schema":"https://github.com/citation-style-language/schema/raw/master/csl-citation.json"} </w:instrText>
      </w:r>
      <w:r w:rsidRPr="00321BE4">
        <w:rPr>
          <w:sz w:val="20"/>
          <w:szCs w:val="20"/>
        </w:rPr>
        <w:fldChar w:fldCharType="separate"/>
      </w:r>
      <w:r w:rsidRPr="00321BE4">
        <w:rPr>
          <w:sz w:val="20"/>
          <w:szCs w:val="20"/>
        </w:rPr>
        <w:t>(Naaz et al., 2021;</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{"citationID":"4G5RYVR8","properties":{"formattedCitation":"(Dey et al., 2017)","plainCitation":"(Dey et al., 2017)","noteIndex":0},"citationItems":[{"id":71,"uris":["http://zotero.org/users/local/66j4yoWm/items/4RNAL5BA"],"itemData":{"id":71,"type":"article-journal","abstract":"The purpose of the present study was to investigate the relationship between parenting stress and depression in children of working mother. The sample of the study consisted of 100 respondents of whom 50 were mothers (Working Mothers = 25 and Non-working Mothers = 25) and 50 were their children (6 to 13 years of age). They were selected purposively from different coaching centers of Dhaka city. Bangla version of Parenting Stress Index (PSI) (Akhter and Afrose 2009) was used to measure parenting stress. Bangla version of Children’s Depression Inventory (CDI) (Parvez and Afrose 2009) was used to measure depression in children. In addition, a personal Information blank was also used. The obtained data were analyzed by using t-test and Pearson product moment correlation. It was found that the stress of working mothers (67.68) was greater than non-working mothers (55.64); the depression in children of working mothers (55.88) was more than the children of non-working mothers (49.04). The results also indicated that working mothers and their children suffer from more stress and depression as compared to non working mothers and their children. The parenting stress was positively correlated (r=0.29, p &lt;0.05) with children’s depression. The results indicate that with the increase of parenting stress, the depression of their children also increases. \n\nKey words: Parenting stress, children’s depression, working mother, non-working mother,","container-title":"The Chittagong University Journal of Biological Science","journalAbbreviation":"The Chittagong University Journal of Biological Science","page":"151-165","source":"ResearchGate","title":"Parenting Stress and Children Depression","volume":"The Chittagong University Journal of Biological Science, 7","author":[{"family":"Dey","given":"Biplob"},{"family":"Bairagi","given":"Arunavo"},{"family":"Kabir","given":"Syed Muhammad"},{"family":"Shahrier","given":"Mohd. Ashik"}],"issued":{"date-parts":[["2017",12,31]]}}}],"schema":"https://github.com/citation-style-language/schema/raw/master/csl-citation.json"} </w:instrText>
      </w:r>
      <w:r w:rsidRPr="00321BE4">
        <w:rPr>
          <w:sz w:val="20"/>
          <w:szCs w:val="20"/>
        </w:rPr>
        <w:fldChar w:fldCharType="separate"/>
      </w:r>
      <w:r w:rsidRPr="00321BE4">
        <w:rPr>
          <w:sz w:val="20"/>
          <w:szCs w:val="20"/>
        </w:rPr>
        <w:t>Dey et al., 2017;</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{"citationID":"gIXy2U4d","properties":{"formattedCitation":"(Brym et al., 2022)","plainCitation":"(Brym et al., 2022)","noteIndex":0},"citationItems":[{"id":68,"uris":["http://zotero.org/users/local/66j4yoWm/items/Z4EQD65W"],"itemData":{"id":68,"type":"article-journal","abstract":"The COVID-19 pandemic has confronted working parents with an accumulation of stressors regarding changes in work, family, and social life, putting their mental health at risk. Stressors include altered working conditions such as working from home or changes in working hours as well as the difficulty to reconcile work and childcare due to the closure of childcare facilities. The present study examined the relationship of psychosocial work stress (i.e., work-privacy conflict and effort-reward imbalance at work) and depressive symptoms in working parents and whether this association was moderated by individual resilience.","container-title":"BMC Public Health","DOI":"10.1186/s12889-022-14582-y","ISSN":"1471-2458","issue":"1","journalAbbreviation":"BMC Public Health","page":"2426","source":"BioMed Central","title":"Mental health of working parents during the COVID-19 pandemic: can resilience buffer the impact of psychosocial work stress on depressive symptoms?","title-short":"Mental health of working parents during the COVID-19 pandemic","volume":"22","author":[{"family":"Brym","given":"Stephanie"},{"family":"Mack","given":"Judith T."},{"family":"Weise","given":"Victoria"},{"family":"Kopp","given":"Marie"},{"family":"Steudte-Schmiedgen","given":"Susann"},{"family":"Garthus-Niegel","given":"Susan"}],"issued":{"date-parts":[["2022",12,26]]}}}],"schema":"https://github.com/citation-style-language/schema/raw/master/csl-citation.json"} </w:instrText>
      </w:r>
      <w:r w:rsidRPr="00321BE4">
        <w:rPr>
          <w:sz w:val="20"/>
          <w:szCs w:val="20"/>
        </w:rPr>
        <w:fldChar w:fldCharType="separate"/>
      </w:r>
      <w:r w:rsidRPr="00321BE4">
        <w:rPr>
          <w:sz w:val="20"/>
          <w:szCs w:val="20"/>
        </w:rPr>
        <w:t>Brym et al., 2022)</w:t>
      </w:r>
      <w:r w:rsidRPr="00321BE4">
        <w:rPr>
          <w:sz w:val="20"/>
          <w:szCs w:val="20"/>
        </w:rPr>
        <w:fldChar w:fldCharType="end"/>
      </w:r>
      <w:r w:rsidRPr="00321BE4">
        <w:rPr>
          <w:sz w:val="20"/>
          <w:szCs w:val="20"/>
        </w:rPr>
        <w:t xml:space="preserve">. Working mothers commonly deal with unique mental health issues as they manage both work duties and family responsibilities. The added pressure of maintaining a career while fulfilling familial duties can exacerbate stress and anxiety, leading to significant mental health concerns </w:t>
      </w:r>
      <w:r w:rsidRPr="00321BE4">
        <w:rPr>
          <w:sz w:val="20"/>
          <w:szCs w:val="20"/>
        </w:rPr>
        <w:fldChar w:fldCharType="begin"/>
      </w:r>
      <w:r w:rsidRPr="00321BE4">
        <w:rPr>
          <w:sz w:val="20"/>
          <w:szCs w:val="20"/>
        </w:rPr>
        <w:instrText xml:space="preserve"> ADDIN ZOTERO_ITEM CSL_CITATION {"citationID":"tspIkkd1","properties":{"formattedCitation":"(Dizaho, 2016)","plainCitation":"(Dizaho, 2016)","noteIndex":0},"citationItems":[{"id":93,"uris":["http://zotero.org/users/local/66j4yoWm/items/Q6MLDZSI"],"itemData":{"id":93,"type":"paper-conference","title":"The Impact of Work-Family Conflict on Working Mothe rs ’ Career Development : A Review of Literature","URL":"https://api.semanticscholar.org/CorpusID:195835501","author":[{"family":"Dizaho","given":"Esther Kadarko"}],"issued":{"date-parts":[["2016"]]}}}],"schema":"https://github.com/citation-style-language/schema/raw/master/csl-citation.json"} </w:instrText>
      </w:r>
      <w:r w:rsidRPr="00321BE4">
        <w:rPr>
          <w:sz w:val="20"/>
          <w:szCs w:val="20"/>
        </w:rPr>
        <w:fldChar w:fldCharType="separate"/>
      </w:r>
      <w:r w:rsidRPr="00321BE4">
        <w:rPr>
          <w:sz w:val="20"/>
          <w:szCs w:val="20"/>
        </w:rPr>
        <w:t>(Dizaho, 2016)</w:t>
      </w:r>
      <w:r w:rsidRPr="00321BE4">
        <w:rPr>
          <w:sz w:val="20"/>
          <w:szCs w:val="20"/>
        </w:rPr>
        <w:fldChar w:fldCharType="end"/>
      </w:r>
      <w:r w:rsidRPr="00321BE4">
        <w:rPr>
          <w:sz w:val="20"/>
          <w:szCs w:val="20"/>
        </w:rPr>
        <w:t xml:space="preserve">. In Bangladesh, where traditional gender roles often place the burden of household responsibilities on women, working mothers may experience heightened levels of stress due to these conflicting demands </w:t>
      </w:r>
      <w:r w:rsidRPr="00321BE4">
        <w:rPr>
          <w:sz w:val="20"/>
          <w:szCs w:val="20"/>
        </w:rPr>
        <w:fldChar w:fldCharType="begin"/>
      </w:r>
      <w:r w:rsidRPr="00321BE4">
        <w:rPr>
          <w:sz w:val="20"/>
          <w:szCs w:val="20"/>
        </w:rPr>
        <w:instrText xml:space="preserve"> ADDIN ZOTERO_ITEM CSL_CITATION {"citationID":"sNLgvZUF","properties":{"formattedCitation":"(Bianchi et al., 1999)","plainCitation":"(Bianchi et al., 1999)","noteIndex":0},"citationItems":[{"id":95,"uris":["http://zotero.org/users/local/66j4yoWm/items/CXWHHYTS"],"itemData":{"id":95,"type":"article-journal","container-title":"Gender issues","DOI":"10.1007/s12147-999-0001-0","ISSN":"1098-092X","issue":"3","page":"3—33","title":"A cross-national look at married women's earnings dependency","volume":"17","author":[{"family":"Bianchi","given":"SM"},{"family":"Casper","given":"LM"},{"family":"Peltola","given":"PK"}],"issued":{"date-parts":[["1999"]]}}}],"schema":"https://github.com/citation-style-language/schema/raw/master/csl-citation.json"} </w:instrText>
      </w:r>
      <w:r w:rsidRPr="00321BE4">
        <w:rPr>
          <w:sz w:val="20"/>
          <w:szCs w:val="20"/>
        </w:rPr>
        <w:fldChar w:fldCharType="separate"/>
      </w:r>
      <w:r w:rsidRPr="00321BE4">
        <w:rPr>
          <w:sz w:val="20"/>
          <w:szCs w:val="20"/>
        </w:rPr>
        <w:t>(Bianchi et al., 1999)</w:t>
      </w:r>
      <w:r w:rsidRPr="00321BE4">
        <w:rPr>
          <w:sz w:val="20"/>
          <w:szCs w:val="20"/>
        </w:rPr>
        <w:fldChar w:fldCharType="end"/>
      </w:r>
      <w:r w:rsidRPr="00321BE4">
        <w:rPr>
          <w:sz w:val="20"/>
          <w:szCs w:val="20"/>
        </w:rPr>
        <w:t xml:space="preserve">. Studies have shown that adequate spousal support can alleviate some of these pressures, improving the overall mental well-being of working mothers </w:t>
      </w:r>
      <w:r w:rsidRPr="00321BE4">
        <w:rPr>
          <w:sz w:val="20"/>
          <w:szCs w:val="20"/>
        </w:rPr>
        <w:fldChar w:fldCharType="begin"/>
      </w:r>
      <w:r w:rsidRPr="00321BE4">
        <w:rPr>
          <w:sz w:val="20"/>
          <w:szCs w:val="20"/>
        </w:rPr>
        <w:instrText xml:space="preserve"> ADDIN ZOTERO_ITEM CSL_CITATION {"citationID":"2dIAOP3I","properties":{"formattedCitation":"(Alarifi &amp; Basahal, 2023)","plainCitation":"(Alarifi &amp; Basahal, 2023)","noteIndex":0},"citationItems":[{"id":92,"uris":["http://zotero.org/users/local/66j4yoWm/items/USBFKMET"],"itemData":{"id":92,"type":"article-journal","container-title":"International Business Research","title":"The Role of Spousal Support in Working Mothers’ Work-Life Balance","URL":"https://api.semanticscholar.org/CorpusID:257813926","author":[{"family":"Alarifi","given":"Areej Abdulrahman"},{"family":"Basahal","given":"Abdulrahman S."}],"issued":{"date-parts":[["2023"]]}}}],"schema":"https://github.com/citation-style-language/schema/raw/master/csl-citation.json"} </w:instrText>
      </w:r>
      <w:r w:rsidRPr="00321BE4">
        <w:rPr>
          <w:sz w:val="20"/>
          <w:szCs w:val="20"/>
        </w:rPr>
        <w:fldChar w:fldCharType="separate"/>
      </w:r>
      <w:r w:rsidRPr="00321BE4">
        <w:rPr>
          <w:sz w:val="20"/>
          <w:szCs w:val="20"/>
        </w:rPr>
        <w:t>(Alarifi &amp; Basahal, 2023;</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{"citationID":"Cz8GOJLc","properties":{"formattedCitation":"(Razurel et al., 2013)","plainCitation":"(Razurel et al., 2013)","noteIndex":0},"citationItems":[{"id":2,"uris":["http://zotero.org/users/local/66j4yoWm/items/BRFF97R5"],"itemData":{"id":2,"type":"article-journal","abstract":"The objective of this work was to review published articles on the impact of perinatal stress on mothers' medium- or long-term psychological health and the  efficacy of coping strategies, to determine if social support plays a role in the  interaction between birth events and mothers' psychological experiences, and to  identify the tools used for these measurements. MEDLINE, PsycINFO, and CINAHL  databases were searched for English and French language articles from 2000  through 2010 inclusive. Thirty-seven articles fulfilled the selection criteria.  The results of this review highlight an association between perceived stress and  postpartum depressive symptoms. However, because perceived stress has been  evaluated in a general manner, it was not possible to identify events having more  or less relation to postpartum depressive symptoms in mothers. Social support  also appeared to be related to mothers' psychological health. Coping strategies  were difficult to analyze because of the lack of homogeneity in their definition  across studies. The comparison among studies of social support and coping  strategies was also difficult due to the diversity of tools used and their lack  of specificity. New tools should be specifically developed for the perinatal  period, and further research should be performed to understand better the events  and adequacy of social support.","container-title":"Women &amp; health","DOI":"10.1080/03630242.2012.732681","ISSN":"1541-0331 0363-0242","issue":"1","journalAbbreviation":"Women Health","language":"eng","note":"publisher-place: United States\nPMID: 23421340","page":"74-99","title":"Relation between perceived stress, social support, and coping strategies and maternal well-being: a review of the literature.","volume":"53","author":[{"family":"Razurel","given":"Chantal"},{"family":"Kaiser","given":"Barbara"},{"family":"Sellenet","given":"Catherine"},{"family":"Epiney","given":"Manuela"}],"issued":{"date-parts":[["2013"]]}}}],"schema":"https://github.com/citation-style-language/schema/raw/master/csl-citation.json"} </w:instrText>
      </w:r>
      <w:r w:rsidRPr="00321BE4">
        <w:rPr>
          <w:sz w:val="20"/>
          <w:szCs w:val="20"/>
        </w:rPr>
        <w:fldChar w:fldCharType="separate"/>
      </w:r>
      <w:r w:rsidRPr="00321BE4">
        <w:rPr>
          <w:sz w:val="20"/>
          <w:szCs w:val="20"/>
        </w:rPr>
        <w:t>Razurel et al., 2013)</w:t>
      </w:r>
      <w:r w:rsidRPr="00321BE4">
        <w:rPr>
          <w:sz w:val="20"/>
          <w:szCs w:val="20"/>
        </w:rPr>
        <w:fldChar w:fldCharType="end"/>
      </w:r>
      <w:r w:rsidRPr="00321BE4">
        <w:rPr>
          <w:sz w:val="20"/>
          <w:szCs w:val="20"/>
        </w:rPr>
        <w:t>.</w:t>
      </w:r>
    </w:p>
    <w:p w14:paraId="3EFD5184" w14:textId="77777777" w:rsidR="00CE04DC" w:rsidRPr="00321BE4" w:rsidRDefault="00CE04DC" w:rsidP="00CE04DC">
      <w:pPr>
        <w:jc w:val="both"/>
        <w:rPr>
          <w:sz w:val="20"/>
          <w:szCs w:val="20"/>
        </w:rPr>
      </w:pPr>
    </w:p>
    <w:p w14:paraId="172D1158" w14:textId="77777777" w:rsidR="00CE04DC" w:rsidRPr="00321BE4" w:rsidRDefault="00CE04DC" w:rsidP="002A6D5B">
      <w:pPr>
        <w:spacing w:line="324" w:lineRule="auto"/>
        <w:jc w:val="both"/>
        <w:rPr>
          <w:sz w:val="20"/>
          <w:szCs w:val="20"/>
        </w:rPr>
      </w:pPr>
      <w:r w:rsidRPr="00321BE4">
        <w:rPr>
          <w:sz w:val="20"/>
          <w:szCs w:val="20"/>
        </w:rPr>
        <w:t xml:space="preserve">Maternal mental health is affected by multiple interlinked factors, including biological, psychological, and social elements. In Bangladesh, where traditional gender roles are deeply ingrained, these factors are often compounded by specific cultural pressures and economic challenges. The support from a spouse is especially important because it can help lessen the negative impact of these factors. </w:t>
      </w:r>
      <w:r w:rsidRPr="00321BE4">
        <w:rPr>
          <w:sz w:val="20"/>
          <w:szCs w:val="20"/>
        </w:rPr>
        <w:fldChar w:fldCharType="begin"/>
      </w:r>
      <w:r w:rsidRPr="00321BE4">
        <w:rPr>
          <w:sz w:val="20"/>
          <w:szCs w:val="20"/>
        </w:rPr>
        <w:instrText xml:space="preserve"> ADDIN ZOTERO_ITEM CSL_CITATION {"citationID":"bNmWnJEZ","properties":{"formattedCitation":"(Bedaso et al., 2021)","plainCitation":"(Bedaso et al., 2021)","noteIndex":0},"citationItems":[{"id":47,"uris":["http://zotero.org/users/local/66j4yoWm/items/VU2KXFYA"],"itemData":{"id":47,"type":"article-journal","abstract":"BACKGROUND: Pregnancy is a time of profound physical and emotional change as well as an increased risk of mental illness. While strengthening social support is a common recommendation to reduce such mental health risk, no systematic review or meta-analysis has yet examined the relationship between social support and mental problems during pregnancy.\nMETHODS: The PRISMA checklist was used as a guide to systematically review relevant peer-reviewed literature reporting primary data analyses. PubMed, Psych Info, MIDIRS, SCOPUS, and CINAHL database searches were conducted to retrieve research articles published between the years 2000 to 2019. The Newcastle-Ottawa Scale tool was used for quality appraisal and the meta-analysis was conducted using STATA. The Q and the I2 statistics were used to evaluate heterogeneity. A random-effects model was used to pool estimates. Publication bias was assessed using a funnel plot and Egger's regression test and adjusted using trim and Fill analysis.\nRESULT: From the identified 3760 articles, 67 articles with 64,449 pregnant women were part of the current systematic review and meta-analysis. From the total 67 articles, 22 and 45 articles included in the narrative analysis and meta-analysis, respectively. From the total articles included in the narrative analysis, 20 articles reported a significant relationship between low social support and the risk of developing mental health problems (i.e. depression, anxiety, and self-harm) during pregnancy. After adjusting for publication bias, based on the results of the random-effect model, the pooled odds ratio (POR) of low social support was AOR: 1.18 (95% CI: 1.01, 1.41) for studies examining the relationship between low social support and antenatal depression and AOR: 1.97 (95% CI: 1.34, 2.92) for studies examining the relationship between low social support and antenatal anxiety.\nCONCLUSION: Low social support shows significant associations with the risk of depression, anxiety, and self-harm during pregnancy. Policy-makers and those working on maternity care should consider the development of targeted social support programs with a view to helping reduce mental health problems amongst pregnant women.","container-title":"Reproductive Health","DOI":"10.1186/s12978-021-01209-5","ISSN":"1742-4755","issue":"1","journalAbbreviation":"Reprod Health","language":"eng","note":"PMID: 34321040\nPMCID: PMC8320195","page":"162","source":"PubMed","title":"The relationship between social support and mental health problems during pregnancy: a systematic review and meta-analysis","title-short":"The relationship between social support and mental health problems during pregnancy","volume":"18","author":[{"family":"Bedaso","given":"Asres"},{"family":"Adams","given":"Jon"},{"family":"Peng","given":"Wenbo"},{"family":"Sibbritt","given":"David"}],"issued":{"date-parts":[["2021",7,28]]}}}],"schema":"https://github.com/citation-style-language/schema/raw/master/csl-citation.json"} </w:instrText>
      </w:r>
      <w:r w:rsidRPr="00321BE4">
        <w:rPr>
          <w:sz w:val="20"/>
          <w:szCs w:val="20"/>
        </w:rPr>
        <w:fldChar w:fldCharType="separate"/>
      </w:r>
      <w:r w:rsidRPr="00321BE4">
        <w:rPr>
          <w:sz w:val="20"/>
          <w:szCs w:val="20"/>
        </w:rPr>
        <w:t>(Bedaso et al., 2021;</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{"citationID":"At696LQc","properties":{"formattedCitation":"(Alshikh Ahmad et al., 2021)","plainCitation":"(Alshikh Ahmad et al., 2021)","noteIndex":0},"citationItems":[{"id":44,"uris":["http://zotero.org/users/local/66j4yoWm/items/2NZCGMNY"],"itemData":{"id":44,"type":"article-journal","abstract":"BACKGROUND: Postpartum depression (PPD) is a common social health problem that affects not only the mother and newborn, but extends to other family members as well as various aspects of their lives. This systematic review and meta-analysis aims to identify the prevalence and risk factors of postpartum among the women in Middle East countries.\nMETHODS: We searched published articles from Web of Science, EMBASE, PubMed and Cochrane electronic databases to establish study articles. Articles regarding postpartum depression prevalence and associated factors among women in the Middle East were included in this systematic review and meta-analysis. A random-effect model was used for estimation of pooled postpartum depression prevalence with a 95% confidence interval (CI) and forest plot. Presence of heterogeneity was checked by Cochran's (Q) test, and funnel plots and Egger's statistical tests were used to assess publication bias.\nRESULTS: A total of 15 studies were included in this systematic review. The studies were conducted in different countries of the Middle East between 2006 and 2020, nine of the included studies were cross-sectional studies and six were cohort studies. The overall pooled estimate of the prevalence of postpartum depression in the Middle East mothers was very high 27% (95% CI 0.19-0.35). The common risk factors reported based on our review were poor economic, pregnancy associated complications, low education, unplanned pregnancy, housewife, inadequate social support from family members and the feeding by formula. Poor economic and complication during pregnancy presented a significant relationship regarding postpartum depression in meta-analysis.\nCONCLUSIONS: The prevalence of postpartum depression in the Middle East was higher than other regions of the world. In response to this, we recommend an increase of routine screening for depression during postpartum in this area. Furthermore, it might be necessary to integrate mental health with maternal health care in clinical practice during the postpartum.","container-title":"BMC pregnancy and childbirth","DOI":"10.1186/s12884-021-04016-9","ISSN":"1471-2393","issue":"1","journalAbbreviation":"BMC Pregnancy Childbirth","language":"eng","note":"PMID: 34362325\nPMCID: PMC8343347","page":"542","source":"PubMed","title":"Prevalence and risk factors of postpartum depression in the Middle East: a systematic review and meta-analysis","title-short":"Prevalence and risk factors of postpartum depression in the Middle East","volume":"21","author":[{"family":"Alshikh Ahmad","given":"Hoda"},{"family":"Alkhatib","given":"Asem"},{"family":"Luo","given":"Jiayou"}],"issued":{"date-parts":[["2021",8,6]]}}}],"schema":"https://github.com/citation-style-language/schema/raw/master/csl-citation.json"} </w:instrText>
      </w:r>
      <w:r w:rsidRPr="00321BE4">
        <w:rPr>
          <w:sz w:val="20"/>
          <w:szCs w:val="20"/>
        </w:rPr>
        <w:fldChar w:fldCharType="separate"/>
      </w:r>
      <w:r w:rsidRPr="00321BE4">
        <w:rPr>
          <w:sz w:val="20"/>
          <w:szCs w:val="20"/>
        </w:rPr>
        <w:t>Alshikh Ahmad et al., 2021;</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{"citationID":"Gv2w5F5F","properties":{"formattedCitation":"(Caballero et al., 2022)","plainCitation":"(Caballero et al., 2022)","noteIndex":0},"citationItems":[{"id":19,"uris":["http://zotero.org/users/local/66j4yoWm/items/ZUKZUATY"],"itemData":{"id":19,"type":"article-journal","abstract":"The prevalence of certain diagnoses, such as eating disorders, depression, anxiety, and borderline personality disorder, is higher among women than among men. When it comes to women’s mental health, focusing on social aspects influencing the way women fall ill becomes crucial. Using a sample of 368 women, we studied the classification ability of a number of clinical variables and sociocultural factors (conformity to gender norms) in order to ascertain whether or not women were receiving psychological care and determine the importance of each of the variables when predicting which women were receiving therapy. Our results showed that women were more likely to be receiving psychological treatment when scoring high on certain clinical variables (such as Suicidal Ideation and Borderline Features) and on a number of variables related to conforming to gender norms (Care for Children, Nice in Relationships, and Sexual Fidelity). Therefore, we believe that integrating the gender perspective into educational, health-related, and psychological care programmes is essential so that gender roles can become more diverse and less constricting of people’s potential, resulting in improved health.\nAlternate abstract:\nLa prevalencia de determinados diagnósticos –trastorno de la conducta alimentaria, depresión, ansiedad y trastorno límite– es superior en mujeres que en hombres. Considerando la salud mental en mujeres, resulta imprescindible poner el foco en los aspectos sociales que influyen en la forma de enfermar. Se estudia en una muestra de 368 mujeres la capacidad de clasificación de algunas variables clínicas y factores socioculturales (conformidad con las normas de género) para determinar si una mujer está recibiendo asistencia psicológica o no, así como la importancia de cada una de esas variables a la hora de pronosticar qué mujeres estarían recibiendo terapia. Los resultados mostraron que cuando las mujeres puntúan alto en algunas variables clínicas (como Ideaciones Suicidas y Rasgos Límites) y en algunas relacionadas con conformidad con las normas de género (Cuidadora de Niños/as, Agradable en las relaciones y la Fidelidad Sexual) era más probable que estén recibiendo tratamiento psicológico. Por lo tanto, se considera que la inclusión de la perspectiva de género en programas de educativos, de salud y atención psicológica es fundamental para que los roles de género puedan ser más diversos y constriñan menos las potencialidades de las personas, lo que influirá en que tengan una mejor salud.","DOI":"10.6018/analesps.450331","ISSN":"02129728","language":"English","license":"© 2022. This work is published under https://creativecommons.org/licenses/by-sa/4.0/ (the “License”). Notwithstanding the ProQuest Terms and Conditions, you may use this content in accordance with the terms of the License.","note":"number-of-pages: 7-16\npublisher: Servicio de Publicaciones, Universidad de Murcia\nsection: Clinical and Health Psychology","page":"7-16","source":"ProQuest","title":"Gender roles and women’s mental health: their influence on the demand for psychological care","title-short":"Gender roles and women’s mental health","author":[{"family":"Caballero","given":"Sandra Toribio"},{"family":"Hernáez","given":"Violeta Cardenal"},{"family":"Espada","given":"Alejandro Ávila"},{"family":"Bruna","given":"María Mercedes Ovejero"}],"issued":{"date-parts":[["2022"]]}}}],"schema":"https://github.com/citation-style-language/schema/raw/master/csl-citation.json"} </w:instrText>
      </w:r>
      <w:r w:rsidRPr="00321BE4">
        <w:rPr>
          <w:sz w:val="20"/>
          <w:szCs w:val="20"/>
        </w:rPr>
        <w:fldChar w:fldCharType="separate"/>
      </w:r>
      <w:r w:rsidRPr="00321BE4">
        <w:rPr>
          <w:sz w:val="20"/>
          <w:szCs w:val="20"/>
        </w:rPr>
        <w:t>Caballero et al., 2022)</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{"citationID":"AAEZJkGv","properties":{"formattedCitation":"(Lewis et al., 2015)","plainCitation":"(Lewis et al., 2015)","noteIndex":0},"citationItems":[{"id":3,"uris":["http://zotero.org/users/local/66j4yoWm/items/Z8BC5KZ4"],"itemData":{"id":3,"type":"article-journal","abstract":"BACKGROUND: The role of husbands in maternal health is often overlooked by health programmes in developing countries and is an under-researched area of study  globally. This study examines the role of husbands in maternity care and safe  childbirth, their perceptions of the needs of women and children, the factors  which influence or discourage their participation, and how women feel about male  involvement around childbirth. It also identifies considerations that should be  taken into account in the development of health education for husbands. METHODS:  This qualitative study was conducted in four rural hill villages in the Gorkha  district of Nepal. Semi-structured, in-depth interviews were conducted with  husbands (n = 17), wives (n = 15), mothers-in-law (n = 3), and health workers (n  = 7) in Nepali through a translator. Interviews were transcribed and analysed  using axial coding. RESULTS: We found that, in rural Nepal, male involvement in  maternal health and safe childbirth is complex and related to gradual and  evolving changes in attitudes taking place. Traditional beliefs are upheld which  influence male involvement, including the central role of women in the domain of  pregnancy and childbirth that cannot be ignored. That said, husbands do have a  role to play in maternity care. For example, they may be the only person  available when a woman goes into labour. Considerable interest for the  involvement of husbands was also expressed by both expectant mothers and fathers.  However, it is important to recognise that the husbands' role is shaped by many  factors, including their availability, cultural beliefs, and traditions.  CONCLUSIONS: This study shows that, although complex, expectant fathers do have  an important role in maternal health and safe childbirth. Male involvement needs  to be recognised and addressed in health education due to the potential benefits  it may bring to both maternal and child health outcomes. This has important  implications for health policy and practice, as there is a need for health  systems and maternal health interventions to adapt in order to ensure the  appropriate and effective inclusion of expectant fathers.","container-title":"BMC pregnancy and childbirth","DOI":"10.1186/s12884-015-0599-8","ISSN":"1471-2393","journalAbbreviation":"BMC Pregnancy Childbirth","language":"eng","note":"publisher-place: England\nPMID: 26239123 \nPMCID: PMC4523911","page":"162","title":"The role of husbands in maternal health and safe childbirth in rural Nepal: a qualitative study.","volume":"15","author":[{"family":"Lewis","given":"Sarah"},{"family":"Lee","given":"Andrew"},{"family":"Simkhada","given":"Padam"}],"issued":{"date-parts":[["2015",8,4]]}}}],"schema":"https://github.com/citation-style-language/schema/raw/master/csl-citation.json"} </w:instrText>
      </w:r>
      <w:r w:rsidRPr="00321BE4">
        <w:rPr>
          <w:sz w:val="20"/>
          <w:szCs w:val="20"/>
        </w:rPr>
        <w:fldChar w:fldCharType="separate"/>
      </w:r>
      <w:r w:rsidRPr="00321BE4">
        <w:rPr>
          <w:sz w:val="20"/>
          <w:szCs w:val="20"/>
        </w:rPr>
        <w:t>(Lewis et al., 2015;</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{"citationID":"elFTrFAk","properties":{"formattedCitation":"(Pebryatie et al., 2022)","plainCitation":"(Pebryatie et al., 2022)","noteIndex":0},"citationItems":[{"id":17,"uris":["http://zotero.org/users/local/66j4yoWm/items/LXG2ZKLC"],"itemData":{"id":17,"type":"article-journal","abstract":"INTRODUCTION: Indonesia is actively promoting husband involvement in maternal health care, since it has been claimed to impact the wellbeing of mothers. This  study aims to investigate the extent to which spousal relationship, husband  involvement, and maternal health behavior affect postpartum depression among  Indonesian mothers. METHOD: A survey was carried out among 336 postpartum mothers  who received maternal care in 27 independent midwifery clinics in 7 regions of  West Java Province, Indonesia. The measurement model of husband involvement  comprising 4 dimensions, namely maternity care engagement, instrumental support,  emotional support, and informational support were developed and validated using  confirmatory factor analysis. The Quality of Marriage Index (QMI) and the  Edinburgh Postnatal Depression Scale (EPDS) were also validated and used to  measure spousal relationship and postpartum depressive symptoms. A structural  equation model was specified to examine the association between spousal  relationship, husband involvement, maternal healthy behavior, and postpartum  depression. RESULTS: The study confirms the assumption that the quality of the  spousal relationship could determine husband's involvement during pregnancy,  childbirth, and postpartum (γ = .60, P &lt; .001), eventually leading to better  maternal healthy behavior (γ = .015, P &lt; .001) and a decrease in postpartum  depressive symptoms among mothers (γ = -.21, P &lt; .001). CONCLUSIONS: The study  results suggest the needs to promote comprehensive husband involvement to enhance  the wellbeing of mothers. This can be achieved through couple interventions at  the community level and the inclusion of a supportive role for husbands in the  maternal and childcare guidebook offered during ANC visits.","container-title":"Journal of primary care &amp; community health","DOI":"10.1177/21501319221088355","ISSN":"2150-1327 2150-1319","journalAbbreviation":"J Prim Care Community Health","language":"eng","note":"publisher-place: United States\nPMID: 35343810 \nPMCID: PMC8966113","page":"21501319221088355","title":"Associations Between Spousal Relationship, Husband Involvement, and Postpartum Depression Among Postpartum Mothers in West Java, Indonesia.","volume":"13","author":[{"family":"Pebryatie","given":"Elit"},{"family":"Paek","given":"Seung Chun"},{"family":"Sherer","given":"Penchan"},{"family":"Meemon","given":"Natthani"}],"issued":{"date-parts":[["2022",12]]}}}],"schema":"https://github.com/citation-style-language/schema/raw/master/csl-citation.json"} </w:instrText>
      </w:r>
      <w:r w:rsidRPr="00321BE4">
        <w:rPr>
          <w:sz w:val="20"/>
          <w:szCs w:val="20"/>
        </w:rPr>
        <w:fldChar w:fldCharType="separate"/>
      </w:r>
      <w:r w:rsidRPr="00321BE4">
        <w:rPr>
          <w:sz w:val="20"/>
          <w:szCs w:val="20"/>
        </w:rPr>
        <w:t>Pebryatie et al., 2022)</w:t>
      </w:r>
      <w:r w:rsidRPr="00321BE4">
        <w:rPr>
          <w:sz w:val="20"/>
          <w:szCs w:val="20"/>
        </w:rPr>
        <w:fldChar w:fldCharType="end"/>
      </w:r>
      <w:r w:rsidRPr="00321BE4">
        <w:rPr>
          <w:sz w:val="20"/>
          <w:szCs w:val="20"/>
        </w:rPr>
        <w:t>. However, the specific effects of spousal support on whether a mother is employed are not yet clearly understood.</w:t>
      </w:r>
    </w:p>
    <w:p w14:paraId="36FF0F06" w14:textId="77777777" w:rsidR="00CE04DC" w:rsidRPr="00321BE4" w:rsidRDefault="00CE04DC" w:rsidP="00CE04DC">
      <w:pPr>
        <w:jc w:val="both"/>
        <w:rPr>
          <w:sz w:val="20"/>
          <w:szCs w:val="20"/>
        </w:rPr>
      </w:pPr>
    </w:p>
    <w:p w14:paraId="71F0198A" w14:textId="77777777" w:rsidR="00CE04DC" w:rsidRPr="00321BE4" w:rsidRDefault="00CE04DC" w:rsidP="002A6D5B">
      <w:pPr>
        <w:spacing w:line="324" w:lineRule="auto"/>
        <w:jc w:val="both"/>
        <w:rPr>
          <w:sz w:val="20"/>
          <w:szCs w:val="20"/>
        </w:rPr>
      </w:pPr>
      <w:r w:rsidRPr="00321BE4">
        <w:rPr>
          <w:sz w:val="20"/>
          <w:szCs w:val="20"/>
        </w:rPr>
        <w:t xml:space="preserve">Several research studies indicate that spousal support can mitigate the psychological distress associated with both parenting and professional roles. Supportive behaviors from spouses, especially emotional support and help in domestic chores, are linked with lower levels of stress and better overall mental health in mothers </w:t>
      </w:r>
      <w:r w:rsidRPr="00321BE4">
        <w:rPr>
          <w:sz w:val="20"/>
          <w:szCs w:val="20"/>
        </w:rPr>
        <w:fldChar w:fldCharType="begin"/>
      </w:r>
      <w:r w:rsidRPr="00321BE4">
        <w:rPr>
          <w:sz w:val="20"/>
          <w:szCs w:val="20"/>
        </w:rPr>
        <w:instrText xml:space="preserve"> ADDIN ZOTERO_ITEM CSL_CITATION {"citationID":"COzzV9xi","properties":{"formattedCitation":"(Qi et al., 2022)","plainCitation":"(Qi et al., 2022)","noteIndex":0},"citationItems":[{"id":56,"uris":["http://zotero.org/users/local/66j4yoWm/items/LYVSK9EN"],"itemData":{"id":56,"type":"article-journal","abstract":"Numerous studies suggest that interpersonal relationships and social support influence the development of postpartum depression and sleep quality for women. However, the effect of support from the husband or the mother-in-law has not been thoroughly validated. The current study examined the relative contribution of marital satisfaction, perceived caring of the mother-in-law, and social support on postpartum depression and sleep quality simultaneously in a path model.","container-title":"BMC Pregnancy and Childbirth","DOI":"10.1186/s12884-022-04392-w","ISSN":"1471-2393","issue":"1","journalAbbreviation":"BMC Pregnancy and Childbirth","page":"65","source":"BioMed Central","title":"Effects of family relationship and social support on the mental health of Chinese postpartum women","volume":"22","author":[{"family":"Qi","given":"Weijing"},{"family":"Liu","given":"Yan"},{"family":"Lv","given":"Huicong"},{"family":"Ge","given":"Jun"},{"family":"Meng","given":"Yucui"},{"family":"Zhao","given":"Nan"},{"family":"Zhao","given":"Fuqing"},{"family":"Guo","given":"Qing"},{"family":"Hu","given":"Jie"}],"issued":{"date-parts":[["2022",1,25]]}}}],"schema":"https://github.com/citation-style-language/schema/raw/master/csl-citation.json"} </w:instrText>
      </w:r>
      <w:r w:rsidRPr="00321BE4">
        <w:rPr>
          <w:sz w:val="20"/>
          <w:szCs w:val="20"/>
        </w:rPr>
        <w:fldChar w:fldCharType="separate"/>
      </w:r>
      <w:r w:rsidRPr="00321BE4">
        <w:rPr>
          <w:sz w:val="20"/>
          <w:szCs w:val="20"/>
        </w:rPr>
        <w:t>(Qi et al., 2022;</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{"citationID":"25CCKBiK","properties":{"formattedCitation":"(Pebryatie et al., 2022)","plainCitation":"(Pebryatie et al., 2022)","noteIndex":0},"citationItems":[{"id":17,"uris":["http://zotero.org/users/local/66j4yoWm/items/LXG2ZKLC"],"itemData":{"id":17,"type":"article-journal","abstract":"INTRODUCTION: Indonesia is actively promoting husband involvement in maternal health care, since it has been claimed to impact the wellbeing of mothers. This  study aims to investigate the extent to which spousal relationship, husband  involvement, and maternal health behavior affect postpartum depression among  Indonesian mothers. METHOD: A survey was carried out among 336 postpartum mothers  who received maternal care in 27 independent midwifery clinics in 7 regions of  West Java Province, Indonesia. The measurement model of husband involvement  comprising 4 dimensions, namely maternity care engagement, instrumental support,  emotional support, and informational support were developed and validated using  confirmatory factor analysis. The Quality of Marriage Index (QMI) and the  Edinburgh Postnatal Depression Scale (EPDS) were also validated and used to  measure spousal relationship and postpartum depressive symptoms. A structural  equation model was specified to examine the association between spousal  relationship, husband involvement, maternal healthy behavior, and postpartum  depression. RESULTS: The study confirms the assumption that the quality of the  spousal relationship could determine husband's involvement during pregnancy,  childbirth, and postpartum (γ = .60, P &lt; .001), eventually leading to better  maternal healthy behavior (γ = .015, P &lt; .001) and a decrease in postpartum  depressive symptoms among mothers (γ = -.21, P &lt; .001). CONCLUSIONS: The study  results suggest the needs to promote comprehensive husband involvement to enhance  the wellbeing of mothers. This can be achieved through couple interventions at  the community level and the inclusion of a supportive role for husbands in the  maternal and childcare guidebook offered during ANC visits.","container-title":"Journal of primary care &amp; community health","DOI":"10.1177/21501319221088355","ISSN":"2150-1327 2150-1319","journalAbbreviation":"J Prim Care Community Health","language":"eng","note":"publisher-place: United States\nPMID: 35343810 \nPMCID: PMC8966113","page":"21501319221088355","title":"Associations Between Spousal Relationship, Husband Involvement, and Postpartum Depression Among Postpartum Mothers in West Java, Indonesia.","volume":"13","author":[{"family":"Pebryatie","given":"Elit"},{"family":"Paek","given":"Seung Chun"},{"family":"Sherer","given":"Penchan"},{"family":"Meemon","given":"Natthani"}],"issued":{"date-parts":[["2022",12]]}}}],"schema":"https://github.com/citation-style-language/schema/raw/master/csl-citation.json"} </w:instrText>
      </w:r>
      <w:r w:rsidRPr="00321BE4">
        <w:rPr>
          <w:sz w:val="20"/>
          <w:szCs w:val="20"/>
        </w:rPr>
        <w:fldChar w:fldCharType="separate"/>
      </w:r>
      <w:r w:rsidRPr="00321BE4">
        <w:rPr>
          <w:sz w:val="20"/>
          <w:szCs w:val="20"/>
        </w:rPr>
        <w:t>Pebryatie et al., 2022)</w:t>
      </w:r>
      <w:r w:rsidRPr="00321BE4">
        <w:rPr>
          <w:sz w:val="20"/>
          <w:szCs w:val="20"/>
        </w:rPr>
        <w:fldChar w:fldCharType="end"/>
      </w:r>
      <w:r w:rsidRPr="00321BE4">
        <w:rPr>
          <w:sz w:val="20"/>
          <w:szCs w:val="20"/>
        </w:rPr>
        <w:t xml:space="preserve">  In contrast, the absence of Spousal support is associated with a higher prevalence of depressive symptoms and other mental health disorders </w:t>
      </w:r>
      <w:r w:rsidRPr="00321BE4">
        <w:rPr>
          <w:sz w:val="20"/>
          <w:szCs w:val="20"/>
        </w:rPr>
        <w:fldChar w:fldCharType="begin"/>
      </w:r>
      <w:r w:rsidRPr="00321BE4">
        <w:rPr>
          <w:sz w:val="20"/>
          <w:szCs w:val="20"/>
        </w:rPr>
        <w:instrText xml:space="preserve"> ADDIN ZOTERO_ITEM CSL_CITATION {"citationID":"OhB10EGY","properties":{"formattedCitation":"(Nahar et al., 2020)","plainCitation":"(Nahar et al., 2020)","noteIndex":0},"citationItems":[{"id":74,"uris":["http://zotero.org/users/local/66j4yoWm/items/F9HINS9Z"],"itemData":{"id":74,"type":"article-journal","abstract":"BACKGROUND: Recent reports revealed that the number of single mothers has been increasing day by day in Dhaka city; however, their psychological problems have not been studied yet.\nAIM: We aimed to see the proportion of single mothers having depressive and anxiety disorders.\nMETHODS: This descriptive cross-sectional study was conducted under the supervision of the Department of Psychiatry, Bangabandhu Sheikh Mujib Medical University, Dhaka from August 2016 to July 2017. A total of 156 single mothers from three social strata, namely, lower-, middle- and upper-class group were included purposively. Data were collected through face-to-face interviews using a semi-structured questionnaire consisting of demography and structured clinical interview for Diagnostic and Statistical Manual of Mental Disorders, Fourth edition, axis-I disorders, clinician version (SCID-I-CV) which were analyzed by Statistical Package for the Social Sciences (SPSS) version 17.\nRESULTS: This study showed that the mean age of the single mothers was 34.8 ± 8.9 years. The overall 48.8% of single mothers had either depressive and/or anxiety disorders where 17.3% depressive disorder, 21.2% anxiety disorders and 10.3% had a dual diagnosis. Major depressive disorder and generalized anxiety disorder were the most common specific diagnosis.\nCONCLUSION: This study provided us a sound background knowledge regarding psychiatric disorders among single mothers. This study shows the need for larger research on this issue and early detection would help them to improve the quality of life.","container-title":"The International Journal of Social Psychiatry","DOI":"10.1177/0020764020920671","ISSN":"1741-2854","issue":"5","journalAbbreviation":"Int J Soc Psychiatry","language":"eng","note":"PMID: 32375562","page":"485-488","source":"PubMed","title":"Depressive and anxiety disorders among single mothers in Dhaka","volume":"66","author":[{"family":"Nahar","given":"Jhunu Shamsun"},{"family":"Algin","given":"Sultana"},{"family":"Sajib","given":"Mohammad Waliul Hasnat"},{"family":"Ahmed","given":"Srijony"},{"family":"Arafat","given":"S. M. Yasir"}],"issued":{"date-parts":[["2020",8]]}}}],"schema":"https://github.com/citation-style-language/schema/raw/master/csl-citation.json"} </w:instrText>
      </w:r>
      <w:r w:rsidRPr="00321BE4">
        <w:rPr>
          <w:sz w:val="20"/>
          <w:szCs w:val="20"/>
        </w:rPr>
        <w:fldChar w:fldCharType="separate"/>
      </w:r>
      <w:r w:rsidRPr="00321BE4">
        <w:rPr>
          <w:sz w:val="20"/>
          <w:szCs w:val="20"/>
        </w:rPr>
        <w:t>(Nahar et al., 2020)</w:t>
      </w:r>
      <w:r w:rsidRPr="00321BE4">
        <w:rPr>
          <w:sz w:val="20"/>
          <w:szCs w:val="20"/>
        </w:rPr>
        <w:fldChar w:fldCharType="end"/>
      </w:r>
      <w:r w:rsidRPr="00321BE4">
        <w:rPr>
          <w:sz w:val="20"/>
          <w:szCs w:val="20"/>
        </w:rPr>
        <w:t xml:space="preserve">. In countries like Bangladesh, with strong male-dominated traditions, women’s work outside the home is often overlooked. This can change how support from a spouse affects working mothers’ mental health </w:t>
      </w:r>
      <w:r w:rsidRPr="00321BE4">
        <w:rPr>
          <w:sz w:val="20"/>
          <w:szCs w:val="20"/>
        </w:rPr>
        <w:fldChar w:fldCharType="begin"/>
      </w:r>
      <w:r w:rsidRPr="00321BE4">
        <w:rPr>
          <w:sz w:val="20"/>
          <w:szCs w:val="20"/>
        </w:rPr>
        <w:instrText xml:space="preserve"> ADDIN ZOTERO_ITEM CSL_CITATION {"citationID":"ICgcHaSU","properties":{"formattedCitation":"(Ilska &amp; Przyby\\uc0\\u322{}a-Basista, 2020)","plainCitation":"(Ilska &amp; Przybyła-Basista, 2020)","noteIndex":0},"citationItems":[{"id":63,"uris":["http://zotero.org/users/local/66j4yoWm/items/X2SBBPLE"],"itemData":{"id":63,"type":"article-journal","abstract":"We have shown by multiple regression analyses that partner support (as an external source of support) and ego-resiliency (as a personality trait and  internal source of support) are significant factors contributing to pregnant  women's satisfaction with many different domains of psychological well-being  (PWB), such as positive relations with others, self-acceptance, and environmental  mastery, facilitating better psychological adaptation to pregnancy and  motherhood. Type of pregnancy (high-risk or low-risk) is important for two areas  of PWB of pregnant women, namely positive relations with others and  self-acceptance. The attitudes towards maternity and pregnancy are weaker  predictor than ego-resiliency and partner support and they are significant only  for one PWB dimension - autonomy. Positive or negative attitudes towards  motherhood and the unborn child depend on the education level. They are less  stable factors than ego-resiliency. Empirical evidence is found for the  moderating role of the pregnancy type (low- vs. high-risk) in the relationships  between support from partner and two dimensions of PWB: positive relations with  others and purpose in life. The received partner support helps women in high-risk  pregnancy with positive psychological functioning, especially in maintaining the  belief that their life is purposeful and in sustaining quality relationships with  others.","container-title":"Psychology, health &amp; medicine","DOI":"10.1080/13548506.2020.1737718","ISSN":"1465-3966 1354-8506","issue":"5","journalAbbreviation":"Psychol Health Med","language":"eng","note":"publisher-place: England\nPMID: 32151169","page":"630-638","title":"The role of partner support, ego-resiliency, prenatal attitudes towards maternity and pregnancy in psychological well-being of women in high-risk and low-risk  pregnancy.","volume":"25","author":[{"family":"Ilska","given":"Michalina"},{"family":"Przybyła-Basista","given":"Hanna"}],"issued":{"date-parts":[["2020",6]]}}}],"schema":"https://github.com/citation-style-language/schema/raw/master/csl-citation.json"} </w:instrText>
      </w:r>
      <w:r w:rsidRPr="00321BE4">
        <w:rPr>
          <w:sz w:val="20"/>
          <w:szCs w:val="20"/>
        </w:rPr>
        <w:fldChar w:fldCharType="separate"/>
      </w:r>
      <w:r w:rsidRPr="00321BE4">
        <w:rPr>
          <w:sz w:val="20"/>
          <w:szCs w:val="20"/>
        </w:rPr>
        <w:t>(Ilska &amp; Przybyła-Basista, 2020;</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{"citationID":"Z4fis4jT","properties":{"formattedCitation":"(Dey et al., 2017)","plainCitation":"(Dey et al., 2017)","noteIndex":0},"citationItems":[{"id":71,"uris":["http://zotero.org/users/local/66j4yoWm/items/4RNAL5BA"],"itemData":{"id":71,"type":"article-journal","abstract":"The purpose of the present study was to investigate the relationship between parenting stress and depression in children of working mother. The sample of the study consisted of 100 respondents of whom 50 were mothers (Working Mothers = 25 and Non-working Mothers = 25) and 50 were their children (6 to 13 years of age). They were selected purposively from different coaching centers of Dhaka city. Bangla version of Parenting Stress Index (PSI) (Akhter and Afrose 2009) was used to measure parenting stress. Bangla version of Children’s Depression Inventory (CDI) (Parvez and Afrose 2009) was used to measure depression in children. In addition, a personal Information blank was also used. The obtained data were analyzed by using t-test and Pearson product moment correlation. It was found that the stress of working mothers (67.68) was greater than non-working mothers (55.64); the depression in children of working mothers (55.88) was more than the children of non-working mothers (49.04). The results also indicated that working mothers and their children suffer from more stress and depression as compared to non working mothers and their children. The parenting stress was positively correlated (r=0.29, p &lt;0.05) with children’s depression. The results indicate that with the increase of parenting stress, the depression of their children also increases. \n\nKey words: Parenting stress, children’s depression, working mother, non-working mother,","container-title":"The Chittagong University Journal of Biological Science","journalAbbreviation":"The Chittagong University Journal of Biological Science","page":"151-165","source":"ResearchGate","title":"Parenting Stress and Children Depression","volume":"The Chittagong University Journal of Biological Science, 7","author":[{"family":"Dey","given":"Biplob"},{"family":"Bairagi","given":"Arunavo"},{"family":"Kabir","given":"Syed Muhammad"},{"family":"Shahrier","given":"Mohd. Ashik"}],"issued":{"date-parts":[["2017",12,31]]}}}],"schema":"https://github.com/citation-style-language/schema/raw/master/csl-citation.json"} </w:instrText>
      </w:r>
      <w:r w:rsidRPr="00321BE4">
        <w:rPr>
          <w:sz w:val="20"/>
          <w:szCs w:val="20"/>
        </w:rPr>
        <w:fldChar w:fldCharType="separate"/>
      </w:r>
      <w:r w:rsidRPr="00321BE4">
        <w:rPr>
          <w:sz w:val="20"/>
          <w:szCs w:val="20"/>
        </w:rPr>
        <w:t>Dey et al., 2017)</w:t>
      </w:r>
      <w:r w:rsidRPr="00321BE4">
        <w:rPr>
          <w:sz w:val="20"/>
          <w:szCs w:val="20"/>
        </w:rPr>
        <w:fldChar w:fldCharType="end"/>
      </w:r>
      <w:r w:rsidRPr="00321BE4">
        <w:rPr>
          <w:sz w:val="20"/>
          <w:szCs w:val="20"/>
        </w:rPr>
        <w:t xml:space="preserve">. Additionally, working mothers might deal with various challenges, like feeling socially isolated and not getting enough recognition for their work at home, which can also impact their mental health status </w:t>
      </w:r>
      <w:r w:rsidRPr="00321BE4">
        <w:rPr>
          <w:sz w:val="20"/>
          <w:szCs w:val="20"/>
        </w:rPr>
        <w:fldChar w:fldCharType="begin"/>
      </w:r>
      <w:r w:rsidRPr="00321BE4">
        <w:rPr>
          <w:sz w:val="20"/>
          <w:szCs w:val="20"/>
        </w:rPr>
        <w:instrText xml:space="preserve"> ADDIN ZOTERO_ITEM CSL_CITATION {"citationID":"SJ2670iF","properties":{"formattedCitation":"(Rajgariah et al., 2021)","plainCitation":"(Rajgariah et al., 2021)","noteIndex":0},"citationItems":[{"id":76,"uris":["http://zotero.org/users/local/66j4yoWm/items/9CEHBBK4"],"itemData":{"id":76,"type":"article-journal","container-title":"Clinical Epidemiology and Global Health","DOI":"10.1016/j.cegh.2020.08.013","ISSN":"2213-3984","journalAbbreviation":"Clinical Epidemiology and Global Health","language":"English","note":"publisher: Elsevier","page":"191-195","source":"cegh.net","title":"Parenting stress and coping strategies adopted among working and non-working mothers and its association with socio-demographic variables: A cross-sectional study","title-short":"Parenting stress and coping strategies adopted among working and non-working mothers and its association with socio-demographic variables","volume":"9","author":[{"family":"Rajgariah","given":"Ridhi"},{"family":"Chandrashekarappa","given":"Smitha Malenahalli"},{"family":"Babu","given":"Dr Kirthana Venkatesh"},{"family":"Gopi","given":"Arun"},{"family":"Ramaiha","given":"Narayana Murthy Mysore"},{"family":"Kumar","given":"Jagdish"}],"issued":{"date-parts":[["2021",1,1]]}}}],"schema":"https://github.com/citation-style-language/schema/raw/master/csl-citation.json"} </w:instrText>
      </w:r>
      <w:r w:rsidRPr="00321BE4">
        <w:rPr>
          <w:sz w:val="20"/>
          <w:szCs w:val="20"/>
        </w:rPr>
        <w:fldChar w:fldCharType="separate"/>
      </w:r>
      <w:r w:rsidRPr="00321BE4">
        <w:rPr>
          <w:sz w:val="20"/>
          <w:szCs w:val="20"/>
        </w:rPr>
        <w:t>(Rajgariah et al., 2021)</w:t>
      </w:r>
      <w:r w:rsidRPr="00321BE4">
        <w:rPr>
          <w:sz w:val="20"/>
          <w:szCs w:val="20"/>
        </w:rPr>
        <w:fldChar w:fldCharType="end"/>
      </w:r>
      <w:r w:rsidRPr="00321BE4">
        <w:rPr>
          <w:sz w:val="20"/>
          <w:szCs w:val="20"/>
        </w:rPr>
        <w:t>.</w:t>
      </w:r>
    </w:p>
    <w:p w14:paraId="2310C476" w14:textId="77777777" w:rsidR="00CE04DC" w:rsidRPr="00321BE4" w:rsidRDefault="00CE04DC" w:rsidP="00CE04DC">
      <w:pPr>
        <w:jc w:val="both"/>
        <w:rPr>
          <w:sz w:val="20"/>
          <w:szCs w:val="20"/>
        </w:rPr>
      </w:pPr>
    </w:p>
    <w:p w14:paraId="554DAA1F" w14:textId="77777777" w:rsidR="00CE04DC" w:rsidRPr="00321BE4" w:rsidRDefault="00CE04DC" w:rsidP="002A6D5B">
      <w:pPr>
        <w:spacing w:line="324" w:lineRule="auto"/>
        <w:jc w:val="both"/>
        <w:rPr>
          <w:sz w:val="20"/>
          <w:szCs w:val="20"/>
        </w:rPr>
      </w:pPr>
      <w:r w:rsidRPr="00321BE4">
        <w:rPr>
          <w:sz w:val="20"/>
          <w:szCs w:val="20"/>
        </w:rPr>
        <w:t xml:space="preserve">A systematic review of recent literature reveals that working mothers’ mental health can significantly benefit from Spousal support in various forms. Emotional support from spouses has been shown to reduce stress and prevent mental health degradation across different cultures </w:t>
      </w:r>
      <w:r w:rsidRPr="00321BE4">
        <w:rPr>
          <w:sz w:val="20"/>
          <w:szCs w:val="20"/>
        </w:rPr>
        <w:fldChar w:fldCharType="begin"/>
      </w:r>
      <w:r w:rsidRPr="00321BE4">
        <w:rPr>
          <w:sz w:val="20"/>
          <w:szCs w:val="20"/>
        </w:rPr>
        <w:instrText xml:space="preserve"> ADDIN ZOTERO_ITEM CSL_CITATION {"citationID":"XjLcBLsw","properties":{"formattedCitation":"(Ilska &amp; Przyby\\uc0\\u322{}a-Basista, 2020)","plainCitation":"(Ilska &amp; Przybyła-Basista, 2020)","noteIndex":0},"citationItems":[{"id":63,"uris":["http://zotero.org/users/local/66j4yoWm/items/X2SBBPLE"],"itemData":{"id":63,"type":"article-journal","abstract":"We have shown by multiple regression analyses that partner support (as an external source of support) and ego-resiliency (as a personality trait and  internal source of support) are significant factors contributing to pregnant  women's satisfaction with many different domains of psychological well-being  (PWB), such as positive relations with others, self-acceptance, and environmental  mastery, facilitating better psychological adaptation to pregnancy and  motherhood. Type of pregnancy (high-risk or low-risk) is important for two areas  of PWB of pregnant women, namely positive relations with others and  self-acceptance. The attitudes towards maternity and pregnancy are weaker  predictor than ego-resiliency and partner support and they are significant only  for one PWB dimension - autonomy. Positive or negative attitudes towards  motherhood and the unborn child depend on the education level. They are less  stable factors than ego-resiliency. Empirical evidence is found for the  moderating role of the pregnancy type (low- vs. high-risk) in the relationships  between support from partner and two dimensions of PWB: positive relations with  others and purpose in life. The received partner support helps women in high-risk  pregnancy with positive psychological functioning, especially in maintaining the  belief that their life is purposeful and in sustaining quality relationships with  others.","container-title":"Psychology, health &amp; medicine","DOI":"10.1080/13548506.2020.1737718","ISSN":"1465-3966 1354-8506","issue":"5","journalAbbreviation":"Psychol Health Med","language":"eng","note":"publisher-place: England\nPMID: 32151169","page":"630-638","title":"The role of partner support, ego-resiliency, prenatal attitudes towards maternity and pregnancy in psychological well-being of women in high-risk and low-risk  pregnancy.","volume":"25","author":[{"family":"Ilska","given":"Michalina"},{"family":"Przybyła-Basista","given":"Hanna"}],"issued":{"date-parts":[["2020",6]]}}}],"schema":"https://github.com/citation-style-language/schema/raw/master/csl-citation.json"} </w:instrText>
      </w:r>
      <w:r w:rsidRPr="00321BE4">
        <w:rPr>
          <w:sz w:val="20"/>
          <w:szCs w:val="20"/>
        </w:rPr>
        <w:fldChar w:fldCharType="separate"/>
      </w:r>
      <w:r w:rsidRPr="00321BE4">
        <w:rPr>
          <w:sz w:val="20"/>
          <w:szCs w:val="20"/>
        </w:rPr>
        <w:t>(Ilska &amp; Przybyła-Basista, 2020;</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{"citationID":"Q5YF4Thy","properties":{"formattedCitation":"(Lewis et al., 2015)","plainCitation":"(Lewis et al., 2015)","noteIndex":0},"citationItems":[{"id":3,"uris":["http://zotero.org/users/local/66j4yoWm/items/Z8BC5KZ4"],"itemData":{"id":3,"type":"article-journal","abstract":"BACKGROUND: The role of husbands in maternal health is often overlooked by health programmes in developing countries and is an under-researched area of study  globally. This study examines the role of husbands in maternity care and safe  childbirth, their perceptions of the needs of women and children, the factors  which influence or discourage their participation, and how women feel about male  involvement around childbirth. It also identifies considerations that should be  taken into account in the development of health education for husbands. METHODS:  This qualitative study was conducted in four rural hill villages in the Gorkha  district of Nepal. Semi-structured, in-depth interviews were conducted with  husbands (n = 17), wives (n = 15), mothers-in-law (n = 3), and health workers (n  = 7) in Nepali through a translator. Interviews were transcribed and analysed  using axial coding. RESULTS: We found that, in rural Nepal, male involvement in  maternal health and safe childbirth is complex and related to gradual and  evolving changes in attitudes taking place. Traditional beliefs are upheld which  influence male involvement, including the central role of women in the domain of  pregnancy and childbirth that cannot be ignored. That said, husbands do have a  role to play in maternity care. For example, they may be the only person  available when a woman goes into labour. Considerable interest for the  involvement of husbands was also expressed by both expectant mothers and fathers.  However, it is important to recognise that the husbands' role is shaped by many  factors, including their availability, cultural beliefs, and traditions.  CONCLUSIONS: This study shows that, although complex, expectant fathers do have  an important role in maternal health and safe childbirth. Male involvement needs  to be recognised and addressed in health education due to the potential benefits  it may bring to both maternal and child health outcomes. This has important  implications for health policy and practice, as there is a need for health  systems and maternal health interventions to adapt in order to ensure the  appropriate and effective inclusion of expectant fathers.","container-title":"BMC pregnancy and childbirth","DOI":"10.1186/s12884-015-0599-8","ISSN":"1471-2393","journalAbbreviation":"BMC Pregnancy Childbirth","language":"eng","note":"publisher-place: England\nPMID: 26239123 \nPMCID: PMC4523911","page":"162","title":"The role of husbands in maternal health and safe childbirth in rural Nepal: a qualitative study.","volume":"15","author":[{"family":"Lewis","given":"Sarah"},{"family":"Lee","given":"Andrew"},{"family":"Simkhada","given":"Padam"}],"issued":{"date-parts":[["2015",8,4]]}}}],"schema":"https://github.com/citation-style-language/schema/raw/master/csl-citation.json"} </w:instrText>
      </w:r>
      <w:r w:rsidRPr="00321BE4">
        <w:rPr>
          <w:sz w:val="20"/>
          <w:szCs w:val="20"/>
        </w:rPr>
        <w:fldChar w:fldCharType="separate"/>
      </w:r>
      <w:r w:rsidRPr="00321BE4">
        <w:rPr>
          <w:sz w:val="20"/>
          <w:szCs w:val="20"/>
        </w:rPr>
        <w:t>Lewis et al., 2015;</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{"citationID":"0pGpIAA8","properties":{"formattedCitation":"(Jidong et al., 2021)","plainCitation":"(Jidong et al., 2021)","noteIndex":0},"citationItems":[{"id":39,"uris":["http://zotero.org/users/local/66j4yoWm/items/B8W4XRD9"],"itemData":{"id":39,"type":"article-journal","abstract":"BACKGROUND: Maternal depression is a leading cause of disease burden for women worldwide; however, there are ethnic inequalities in access to psychological interventions in high-income countries (HICs). Culturally appropriate interventions might prove beneficial for African and Caribbean women living in HICs as ethnic minorities.\nMETHODS: The review strategy was formulated using the PICo (Population, phenomenon of Interest, and Context) framework with Boolean operators (AND/OR/NOT) to ensure rigour in the use of search terms (\"postpartum depression\", \"maternal depression\", \"postnatal depression\", \"perinatal depression\" \"mental health\", \"psychotherapy\" \"intervention\", \"treatment\", \"black Caribbean\", \"black African\", \"mothers\" and \"women\"). Five databases, including Scopus, PsycINFO, Applied Social Science Index and Abstracts (ASSIA), ProQuest Central and Web of Science, were searched for published articles between 2000 and July 2020. 13 studies met the inclusion criteria, and the relevant data extracted were synthesised and thematically analysed.\nRESULTS: Data syntheses and analyses of included studies produced four themes, including (1) enhance parenting confidence and self-care; (2) effective mother-child interpersonal relationship; (3) culturally appropriate maternal care; and (4) internet-mediated care for maternal depression.\nCONCLUSION: In the quest to address maternal mental health disparities among mothers of African and Caribbean origin in HICs, the authors recommend culturally adapted psychological interventions to be tested in randomised control trials.","container-title":"BMC women's health","DOI":"10.1186/s12905-021-01202-x","ISSN":"1472-6874","issue":"1","journalAbbreviation":"BMC Womens Health","language":"eng","note":"PMID: 33637070\nPMCID: PMC7907308","page":"83","source":"PubMed","title":"Psychological interventions for maternal depression among women of African and Caribbean origin: a systematic review","title-short":"Psychological interventions for maternal depression among women of African and Caribbean origin","volume":"21","author":[{"family":"Jidong","given":"Dung Ezekiel"},{"family":"Husain","given":"Nusrat"},{"family":"Roche","given":"Ayesha"},{"family":"Lourie","given":"Grace"},{"family":"Ike","given":"Tarela J."},{"family":"Murshed","given":"Maisha"},{"family":"Park","given":"Miriam S."},{"family":"Karick","given":"Haruna"},{"family":"Dagona","given":"Zubairu K."},{"family":"Pwajok","given":"Juliet Y."},{"family":"Gumber","given":"Anil"},{"family":"Francis","given":"Christopher"},{"family":"Nyam","given":"Pam P."},{"family":"Mwankon","given":"Shadrack B."}],"issued":{"date-parts":[["2021",2,26]]}}}],"schema":"https://github.com/citation-style-language/schema/raw/master/csl-citation.json"} </w:instrText>
      </w:r>
      <w:r w:rsidRPr="00321BE4">
        <w:rPr>
          <w:sz w:val="20"/>
          <w:szCs w:val="20"/>
        </w:rPr>
        <w:fldChar w:fldCharType="separate"/>
      </w:r>
      <w:r w:rsidRPr="00321BE4">
        <w:rPr>
          <w:sz w:val="20"/>
          <w:szCs w:val="20"/>
        </w:rPr>
        <w:t>Jidong et al., 2021)</w:t>
      </w:r>
      <w:r w:rsidRPr="00321BE4">
        <w:rPr>
          <w:sz w:val="20"/>
          <w:szCs w:val="20"/>
        </w:rPr>
        <w:fldChar w:fldCharType="end"/>
      </w:r>
      <w:r w:rsidRPr="00321BE4">
        <w:rPr>
          <w:sz w:val="20"/>
          <w:szCs w:val="20"/>
        </w:rPr>
        <w:t xml:space="preserve">. Practical support, such as sharing household duties and childcare, is equally important and can relieve the burden on mothers, leading to improved mental health outcomes </w:t>
      </w:r>
      <w:r w:rsidRPr="00321BE4">
        <w:rPr>
          <w:sz w:val="20"/>
          <w:szCs w:val="20"/>
        </w:rPr>
        <w:fldChar w:fldCharType="begin"/>
      </w:r>
      <w:r w:rsidRPr="00321BE4">
        <w:rPr>
          <w:sz w:val="20"/>
          <w:szCs w:val="20"/>
        </w:rPr>
        <w:instrText xml:space="preserve"> ADDIN ZOTERO_ITEM CSL_CITATION {"citationID":"OUS0IQum","properties":{"formattedCitation":"(Atkinson et al., 2021)","plainCitation":"(Atkinson et al., 2021)","noteIndex":0},"citationItems":[{"id":67,"uris":["http://zotero.org/users/local/66j4yoWm/items/FSG76R9J"],"itemData":{"id":67,"type":"article-journal","abstract":"OBJECTIVE: To offer insight and understanding on the perspectives of the partners of mothers who experience postnatal mental distress. BACKGROUND: Partners have an  important role in identifying postnatal mental distress, supporting the mother,  and encouraging help-seeking behaviours that may help reduce the associated  long-term consequences on the mother and baby. DESIGN: A qualitative evidence  synthesis. DATA SOURCES: Medline, CINAHL, EMBASE, Maternity and Infant Care,  PsycINFO and Scopus were searched from their foundation to May 2017 and updated  again in April 2019. REVIEW METHODS: A total of 2928 studies were retrieved.  Studies were screened for inclusion and included studies were assessed for  methodological quality using the Critical Appraisal Skills Programme quality  assessment tool. Study characteristics and findings were extracted and analysed  using thematic synthesis methods. RESULTS: Twenty-five studies between 1998 and  2018, involving 270 partners from seven countries were included. Four main themes  and nine associated subthemes were identified. These main themes were Knowledge,  Relationships, Personal Impact and Disclosure. CONCLUSIONS: This qualitative  evidence synthesis provides clear, nonbiased findings on the perceptions of  partners of mothers who experience postnatal mental distress. Partners lacked  knowledge on how to identify postnatal mental distress and how to access help.  The distress impacted on their relationship with the mother and baby, their  health and raised questions about disclosure. RELEVANCE: The findings from this  synthesis will contribute to the development of responsive care for families when  a mother experiences postnatal mental distress.","container-title":"Midwifery","DOI":"10.1016/j.midw.2020.102868","ISSN":"1532-3099 0266-6138","journalAbbreviation":"Midwifery","language":"eng","license":"Copyright © 2020. Published by Elsevier Ltd.","note":"publisher-place: Scotland\nPMID: 33260004","page":"102868","title":"Perspectives of partners of mothers who experience mental distress in the postnatal period: A systematic review and qualitative evidence synthesis.","volume":"93","author":[{"family":"Atkinson","given":"Jill"},{"family":"Smith","given":"Valerie"},{"family":"Carroll","given":"Margaret"},{"family":"Sheaf","given":"Greg"},{"family":"Higgins","given":"Agnes"}],"issued":{"date-parts":[["2021",2]]}}}],"schema":"https://github.com/citation-style-language/schema/raw/master/csl-citation.json"} </w:instrText>
      </w:r>
      <w:r w:rsidRPr="00321BE4">
        <w:rPr>
          <w:sz w:val="20"/>
          <w:szCs w:val="20"/>
        </w:rPr>
        <w:fldChar w:fldCharType="separate"/>
      </w:r>
      <w:r w:rsidRPr="00321BE4">
        <w:rPr>
          <w:sz w:val="20"/>
          <w:szCs w:val="20"/>
        </w:rPr>
        <w:t>(Atkinson et al., 2021)</w:t>
      </w:r>
      <w:r w:rsidRPr="00321BE4">
        <w:rPr>
          <w:sz w:val="20"/>
          <w:szCs w:val="20"/>
        </w:rPr>
        <w:fldChar w:fldCharType="end"/>
      </w:r>
      <w:r w:rsidRPr="00321BE4">
        <w:rPr>
          <w:sz w:val="20"/>
          <w:szCs w:val="20"/>
        </w:rPr>
        <w:t xml:space="preserve">. However, the </w:t>
      </w:r>
      <w:r w:rsidRPr="00321BE4">
        <w:rPr>
          <w:sz w:val="20"/>
          <w:szCs w:val="20"/>
        </w:rPr>
        <w:lastRenderedPageBreak/>
        <w:t xml:space="preserve">relationship between Spousal support and the mental health of working mothers is not straightforward. Several studies have revealed that the quality of the marital relationship itself plays a critical role in the effectiveness of this support (Thompson et al., 2022). Moreover, cultural perceptions of motherhood and women’s roles in Bangladesh could modify these dynamics, suggesting a complex interplay of factors that needs thorough investigation. </w:t>
      </w:r>
    </w:p>
    <w:p w14:paraId="1F845D80" w14:textId="77777777" w:rsidR="00CE04DC" w:rsidRPr="00321BE4" w:rsidRDefault="00CE04DC" w:rsidP="00CE04DC">
      <w:pPr>
        <w:jc w:val="both"/>
        <w:rPr>
          <w:sz w:val="20"/>
          <w:szCs w:val="20"/>
        </w:rPr>
      </w:pPr>
    </w:p>
    <w:p w14:paraId="3403C31B" w14:textId="77777777" w:rsidR="00CE04DC" w:rsidRPr="00321BE4" w:rsidRDefault="00CE04DC" w:rsidP="002A6D5B">
      <w:pPr>
        <w:spacing w:line="324" w:lineRule="auto"/>
        <w:jc w:val="both"/>
        <w:rPr>
          <w:sz w:val="20"/>
          <w:szCs w:val="20"/>
        </w:rPr>
      </w:pPr>
      <w:r w:rsidRPr="00321BE4">
        <w:rPr>
          <w:sz w:val="20"/>
          <w:szCs w:val="20"/>
        </w:rPr>
        <w:t xml:space="preserve">This research follows the work of </w:t>
      </w:r>
      <w:r w:rsidRPr="00321BE4">
        <w:rPr>
          <w:sz w:val="20"/>
          <w:szCs w:val="20"/>
        </w:rPr>
        <w:fldChar w:fldCharType="begin"/>
      </w:r>
      <w:r w:rsidRPr="00321BE4">
        <w:rPr>
          <w:sz w:val="20"/>
          <w:szCs w:val="20"/>
        </w:rPr>
        <w:instrText xml:space="preserve"> ADDIN ZOTERO_ITEM CSL_CITATION {"citationID":"8oRO4oh6","properties":{"formattedCitation":"(Pezley et al., 2022)","plainCitation":"(Pezley et al., 2022)","dontUpdate":true,"noteIndex":0},"citationItems":[{"id":"SSZb5cTy/K7i2RllI","uris":["http://zotero.org/users/local/66j4yoWm/items/9JILPLYB"],"itemData":{"id":14,"type":"article-journal","abstract":"BACKGROUND: Despite extensive benefits and high intentions, few mothers breastfeed exclusively for the recommended duration. Maternal mental health is an  important underlying factor associated with barriers and reduced rates of  breastfeeding intent, initiation, and continuation. Given evidence of a  bidirectional association between maternal mental health and breastfeeding, it is  important to consider both factors when examining the efficacy of interventions  to improve these outcomes. The purpose of this manuscript is to review the  literature on the efficacy of behavioral interventions focused on both maternal  mental health and breastfeeding outcomes, examining the intersection of the two.  METHODS: This systematic review was completed using the Preferred Reporting Items  for Systematic Reviews and Meta-Analyses (PRISMA) reporting guidelines. Studies  were selected if they were available in English, used primary experimental  design, and used a behavioral intervention type to examine maternal mental health  and breastfeeding outcomes. Articles were identified from PubMed, CINAHL, Embase,  and PsycINFO from database inception to 3 March 2022. Study quality was assessed  using the Cochrane Risk of Bias tool. Results were synthesized by intervention  success for 1. Mental health and breastfeeding, 2. Breastfeeding only, 3. Mental  health only, and 4. No intervention effect. PROSPERO CRD42021224228. RESULTS:  Thirty interventions reported in 33 articles were identified, representing 15  countries. Twelve studies reported statistically significant positive effect of  the intervention on both maternal mental health and breastfeeding; most showing a  decrease in self-report depressive and/or anxiety symptoms in parallel to an  increase in breastfeeding duration and/or exclusivity. Common characteristics of  successful interventions were a) occurring across pregnancy and postpartum, b)  delivered by hospital staff or multidisciplinary teams, c) offered individually,  and d) designed to focus on breastfeeding and maternal mental health or on  breastfeeding only. Our results are not representative of all countries, persons,  experiences, circumstances, or physiological characteristics. CONCLUSIONS:  Interventions that extend the perinatal period and offer individualized support  from both professionals and peers who collaborate through a continuum of settings  (e.g., health system, home, and community) are most successful in improving both  mental health and breastfeeding outcomes. The benefits of improving these  outcomes warrant continued development and implementation of such interventions.  SYSTEMATIC REVIEW REGISTRATION: PROSPERO CRD42021224228.","container-title":"International breastfeeding journal","DOI":"10.1186/s13006-022-00501-9","ISSN":"1746-4358","issue":"1","journalAbbreviation":"Int Breastfeed J","language":"eng","license":"© 2022. The Author(s).","note":"publisher-place: England\nPMID: 36064573 \nPMCID: PMC9446548","page":"67","title":"Efficacy of behavioral interventions to improve maternal mental health and breastfeeding outcomes: a systematic review.","volume":"17","author":[{"family":"Pezley","given":"Lacey"},{"family":"Cares","given":"Kate"},{"family":"Duffecy","given":"Jennifer"},{"family":"Koenig","given":"Mary Dawn"},{"family":"Maki","given":"Pauline"},{"family":"Odoms-Young","given":"Angela"},{"family":"Clark Withington","given":"Margaret H."},{"family":"Lima Oliveira","given":"Manoela"},{"family":"Loiacono","given":"Bernardo"},{"family":"Prough","given":"Jilian"},{"family":"Tussing-Humphreys","given":"Lisa"},{"family":"Buscemi","given":"Joanna"}],"issued":{"date-parts":[["2022",9,5]]}}}],"schema":"https://github.com/citation-style-language/schema/raw/master/csl-citation.json"} </w:instrText>
      </w:r>
      <w:r w:rsidRPr="00321BE4">
        <w:rPr>
          <w:sz w:val="20"/>
          <w:szCs w:val="20"/>
        </w:rPr>
        <w:fldChar w:fldCharType="separate"/>
      </w:r>
      <w:r w:rsidRPr="00321BE4">
        <w:rPr>
          <w:sz w:val="20"/>
          <w:szCs w:val="20"/>
        </w:rPr>
        <w:t>Pezley et al., 2022</w:t>
      </w:r>
      <w:r w:rsidRPr="00321BE4">
        <w:rPr>
          <w:sz w:val="20"/>
          <w:szCs w:val="20"/>
        </w:rPr>
        <w:fldChar w:fldCharType="end"/>
      </w:r>
      <w:r w:rsidRPr="00321BE4">
        <w:rPr>
          <w:sz w:val="20"/>
          <w:szCs w:val="20"/>
        </w:rPr>
        <w:t>, who suggest that the mental health of mothers in developing countries is highly sensitive to socio-cultural variables such as employment status and marital dynamics. It also explores how these factors intersect with Spousal support to impact the mental health of working mothers in Bangladesh. We aim to contribute valuable new insights into the protective role of spousal support, potentially guiding policy interventions to improve the mental health of working mothers. We anticipate that the findings of this study will contribute to the broader discourse on the mental health of working mothers by highlighting the importance of supportive environments. By focusing on the unique context of Bangladesh, this study will not only enrich the existing resource of global mental health research but also offer targeted recommendations for improving the support systems for mothers in similar socio-economic settings.</w:t>
      </w:r>
      <w:bookmarkStart w:id="3" w:name="_Toc166993737"/>
    </w:p>
    <w:p w14:paraId="0F60A0DA" w14:textId="77777777" w:rsidR="00CE04DC" w:rsidRPr="00321BE4" w:rsidRDefault="00CE04DC" w:rsidP="00CE04DC">
      <w:pPr>
        <w:jc w:val="both"/>
        <w:rPr>
          <w:sz w:val="20"/>
          <w:szCs w:val="20"/>
        </w:rPr>
      </w:pPr>
    </w:p>
    <w:p w14:paraId="09078DF6" w14:textId="77777777" w:rsidR="00CE04DC" w:rsidRDefault="00CE04DC" w:rsidP="00CE04DC">
      <w:pPr>
        <w:pStyle w:val="ListParagraph"/>
        <w:numPr>
          <w:ilvl w:val="0"/>
          <w:numId w:val="25"/>
        </w:numPr>
        <w:spacing w:after="0" w:line="240" w:lineRule="auto"/>
        <w:ind w:left="360"/>
        <w:rPr>
          <w:rFonts w:ascii="Times New Roman" w:hAnsi="Times New Roman" w:cs="Times New Roman"/>
          <w:b/>
          <w:bCs/>
          <w:sz w:val="20"/>
          <w:szCs w:val="20"/>
        </w:rPr>
      </w:pPr>
      <w:r w:rsidRPr="00321BE4">
        <w:rPr>
          <w:rFonts w:ascii="Times New Roman" w:hAnsi="Times New Roman" w:cs="Times New Roman"/>
          <w:b/>
          <w:bCs/>
          <w:sz w:val="20"/>
          <w:szCs w:val="20"/>
        </w:rPr>
        <w:t>Methodology</w:t>
      </w:r>
    </w:p>
    <w:p w14:paraId="70630A7B" w14:textId="77777777" w:rsidR="002A6D5B" w:rsidRPr="00321BE4" w:rsidRDefault="002A6D5B" w:rsidP="002A6D5B">
      <w:pPr>
        <w:pStyle w:val="ListParagraph"/>
        <w:spacing w:after="0" w:line="240" w:lineRule="auto"/>
        <w:ind w:left="360"/>
        <w:rPr>
          <w:rFonts w:ascii="Times New Roman" w:hAnsi="Times New Roman" w:cs="Times New Roman"/>
          <w:b/>
          <w:bCs/>
          <w:sz w:val="20"/>
          <w:szCs w:val="20"/>
        </w:rPr>
      </w:pPr>
    </w:p>
    <w:p w14:paraId="01DDC3C7" w14:textId="77777777" w:rsidR="00CE04DC" w:rsidRDefault="00CE04DC" w:rsidP="00CE04DC">
      <w:pPr>
        <w:rPr>
          <w:b/>
          <w:bCs/>
          <w:i/>
          <w:iCs/>
          <w:sz w:val="20"/>
          <w:szCs w:val="20"/>
        </w:rPr>
      </w:pPr>
      <w:r w:rsidRPr="00321BE4">
        <w:rPr>
          <w:b/>
          <w:bCs/>
          <w:i/>
          <w:iCs/>
          <w:sz w:val="20"/>
          <w:szCs w:val="20"/>
        </w:rPr>
        <w:t>Study Design</w:t>
      </w:r>
      <w:bookmarkEnd w:id="3"/>
    </w:p>
    <w:p w14:paraId="6D7AFB2E" w14:textId="77777777" w:rsidR="002A6D5B" w:rsidRPr="00321BE4" w:rsidRDefault="002A6D5B" w:rsidP="00CE04DC">
      <w:pPr>
        <w:rPr>
          <w:b/>
          <w:bCs/>
          <w:i/>
          <w:iCs/>
          <w:sz w:val="20"/>
          <w:szCs w:val="20"/>
        </w:rPr>
      </w:pPr>
    </w:p>
    <w:p w14:paraId="33AC5F9E" w14:textId="77777777" w:rsidR="00CE04DC" w:rsidRDefault="00CE04DC" w:rsidP="002A6D5B">
      <w:pPr>
        <w:spacing w:line="324" w:lineRule="auto"/>
        <w:jc w:val="both"/>
        <w:rPr>
          <w:sz w:val="20"/>
          <w:szCs w:val="20"/>
        </w:rPr>
      </w:pPr>
      <w:bookmarkStart w:id="4" w:name="_Toc166993738"/>
      <w:r w:rsidRPr="00321BE4">
        <w:rPr>
          <w:sz w:val="20"/>
          <w:szCs w:val="20"/>
        </w:rPr>
        <w:t>This cross-sectional study aims to investigate the dynamics among spousal support, the stresses of motherhood, and depressive symptoms. This study included mothers of different ages and their employment statuses to better understand how different factors influence the mental health outcomes of working mothers.</w:t>
      </w:r>
    </w:p>
    <w:p w14:paraId="67069908" w14:textId="77777777" w:rsidR="002A6D5B" w:rsidRPr="00321BE4" w:rsidRDefault="002A6D5B" w:rsidP="00CE04DC">
      <w:pPr>
        <w:jc w:val="both"/>
        <w:rPr>
          <w:sz w:val="20"/>
          <w:szCs w:val="20"/>
        </w:rPr>
      </w:pPr>
    </w:p>
    <w:p w14:paraId="76DCFE53" w14:textId="77777777" w:rsidR="00CE04DC" w:rsidRDefault="00CE04DC" w:rsidP="00CE04DC">
      <w:pPr>
        <w:jc w:val="both"/>
        <w:rPr>
          <w:b/>
          <w:bCs/>
          <w:i/>
          <w:iCs/>
          <w:sz w:val="20"/>
          <w:szCs w:val="20"/>
        </w:rPr>
      </w:pPr>
      <w:r w:rsidRPr="00321BE4">
        <w:rPr>
          <w:b/>
          <w:bCs/>
          <w:i/>
          <w:iCs/>
          <w:sz w:val="20"/>
          <w:szCs w:val="20"/>
        </w:rPr>
        <w:t>Study Setting</w:t>
      </w:r>
    </w:p>
    <w:p w14:paraId="733E3072" w14:textId="77777777" w:rsidR="002A6D5B" w:rsidRPr="00321BE4" w:rsidRDefault="002A6D5B" w:rsidP="00CE04DC">
      <w:pPr>
        <w:jc w:val="both"/>
        <w:rPr>
          <w:b/>
          <w:bCs/>
          <w:i/>
          <w:iCs/>
          <w:sz w:val="20"/>
          <w:szCs w:val="20"/>
        </w:rPr>
      </w:pPr>
    </w:p>
    <w:p w14:paraId="1715A367" w14:textId="77777777" w:rsidR="00CE04DC" w:rsidRDefault="00CE04DC" w:rsidP="002A6D5B">
      <w:pPr>
        <w:spacing w:line="324" w:lineRule="auto"/>
        <w:jc w:val="both"/>
        <w:rPr>
          <w:sz w:val="20"/>
          <w:szCs w:val="20"/>
        </w:rPr>
      </w:pPr>
      <w:r w:rsidRPr="00321BE4">
        <w:rPr>
          <w:sz w:val="20"/>
          <w:szCs w:val="20"/>
        </w:rPr>
        <w:t>The data collection was carried out through structured and validated questionnaires, specifically designed to assess the levels of Spousal support, working mother stress, and depressive symptoms. The questionnaires were distributed both online and in person to accommodate mothers with limited access to digital platforms.</w:t>
      </w:r>
    </w:p>
    <w:p w14:paraId="2290636B" w14:textId="77777777" w:rsidR="002A6D5B" w:rsidRPr="00321BE4" w:rsidRDefault="002A6D5B" w:rsidP="00CE04DC">
      <w:pPr>
        <w:jc w:val="both"/>
        <w:rPr>
          <w:sz w:val="20"/>
          <w:szCs w:val="20"/>
        </w:rPr>
      </w:pPr>
    </w:p>
    <w:p w14:paraId="342A539A" w14:textId="77777777" w:rsidR="00CE04DC" w:rsidRDefault="00CE04DC" w:rsidP="00CE04DC">
      <w:pPr>
        <w:jc w:val="both"/>
        <w:rPr>
          <w:rFonts w:eastAsia="Aptos"/>
          <w:b/>
          <w:bCs/>
          <w:i/>
          <w:iCs/>
          <w:sz w:val="20"/>
          <w:szCs w:val="20"/>
        </w:rPr>
      </w:pPr>
      <w:r w:rsidRPr="00321BE4">
        <w:rPr>
          <w:rFonts w:eastAsia="Aptos"/>
          <w:b/>
          <w:bCs/>
          <w:i/>
          <w:iCs/>
          <w:sz w:val="20"/>
          <w:szCs w:val="20"/>
        </w:rPr>
        <w:t>Participants</w:t>
      </w:r>
      <w:bookmarkEnd w:id="4"/>
      <w:r w:rsidRPr="00321BE4">
        <w:rPr>
          <w:rFonts w:eastAsia="Aptos"/>
          <w:b/>
          <w:bCs/>
          <w:i/>
          <w:iCs/>
          <w:sz w:val="20"/>
          <w:szCs w:val="20"/>
        </w:rPr>
        <w:t xml:space="preserve"> and Study size</w:t>
      </w:r>
    </w:p>
    <w:p w14:paraId="19A6E0FA" w14:textId="77777777" w:rsidR="002A6D5B" w:rsidRPr="00321BE4" w:rsidRDefault="002A6D5B" w:rsidP="00CE04DC">
      <w:pPr>
        <w:jc w:val="both"/>
        <w:rPr>
          <w:b/>
          <w:bCs/>
          <w:i/>
          <w:iCs/>
          <w:sz w:val="20"/>
          <w:szCs w:val="20"/>
        </w:rPr>
      </w:pPr>
    </w:p>
    <w:p w14:paraId="56D602BA" w14:textId="77777777" w:rsidR="00CE04DC" w:rsidRPr="00CE04DC" w:rsidRDefault="00CE04DC" w:rsidP="002A6D5B">
      <w:pPr>
        <w:spacing w:line="324" w:lineRule="auto"/>
        <w:jc w:val="both"/>
        <w:rPr>
          <w:rFonts w:eastAsia="Aptos"/>
          <w:kern w:val="2"/>
        </w:rPr>
      </w:pPr>
      <w:r w:rsidRPr="00CE04DC">
        <w:rPr>
          <w:rFonts w:eastAsia="Aptos"/>
          <w:kern w:val="2"/>
          <w:sz w:val="20"/>
          <w:szCs w:val="20"/>
        </w:rPr>
        <w:t>The study targeted working mothers aged 18 years or older who are currently married and have at least one child under 6 years of age. However, mothers with children aged 0-6 months were excluded because these mothers were more likely to stay home for childcare, which would affect the study’s main objectives. Given these considerations, the sample size was calculated using the following formula,</w:t>
      </w:r>
    </w:p>
    <w:p w14:paraId="6B3373DB" w14:textId="77777777" w:rsidR="00CE04DC" w:rsidRPr="00CE04DC" w:rsidRDefault="00CE04DC" w:rsidP="00CE04DC">
      <w:pPr>
        <w:jc w:val="both"/>
        <w:rPr>
          <w:rFonts w:eastAsia="Aptos"/>
          <w:kern w:val="2"/>
        </w:rPr>
      </w:pPr>
    </w:p>
    <w:p w14:paraId="2FF0940B" w14:textId="3E7852A4" w:rsidR="00CE04DC" w:rsidRDefault="00FD2373" w:rsidP="002A6D5B">
      <w:pPr>
        <w:ind w:firstLine="720"/>
        <w:jc w:val="both"/>
        <w:rPr>
          <w:rFonts w:eastAsia="Aptos"/>
          <w:kern w:val="2"/>
          <w:sz w:val="20"/>
          <w:szCs w:val="20"/>
        </w:rPr>
      </w:pPr>
      <w:r w:rsidRPr="00CE04DC">
        <w:rPr>
          <w:rFonts w:eastAsia="Aptos"/>
          <w:kern w:val="2"/>
          <w:position w:val="-24"/>
          <w:sz w:val="20"/>
          <w:szCs w:val="20"/>
        </w:rPr>
        <w:object w:dxaOrig="1840" w:dyaOrig="660" w14:anchorId="18042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8pt;height:25.9pt" o:ole="">
            <v:imagedata r:id="rId8" o:title=""/>
          </v:shape>
          <o:OLEObject Type="Embed" ProgID="Equation.DSMT4" ShapeID="_x0000_i1025" DrawAspect="Content" ObjectID="_1846227282" r:id="rId9"/>
        </w:object>
      </w:r>
      <w:r w:rsidR="00CE04DC" w:rsidRPr="00CE04DC">
        <w:rPr>
          <w:rFonts w:eastAsia="Aptos"/>
          <w:kern w:val="2"/>
          <w:sz w:val="20"/>
          <w:szCs w:val="20"/>
        </w:rPr>
        <w:t>.</w:t>
      </w:r>
    </w:p>
    <w:p w14:paraId="45D97811" w14:textId="77777777" w:rsidR="002A6D5B" w:rsidRPr="00CE04DC" w:rsidRDefault="002A6D5B" w:rsidP="00CE04DC">
      <w:pPr>
        <w:jc w:val="both"/>
        <w:rPr>
          <w:rFonts w:eastAsia="Aptos"/>
          <w:kern w:val="2"/>
          <w:sz w:val="20"/>
          <w:szCs w:val="20"/>
        </w:rPr>
      </w:pPr>
    </w:p>
    <w:p w14:paraId="3B6C2AA9" w14:textId="77777777" w:rsidR="00CE04DC" w:rsidRDefault="00CE04DC" w:rsidP="002A6D5B">
      <w:pPr>
        <w:spacing w:line="324" w:lineRule="auto"/>
        <w:jc w:val="both"/>
        <w:rPr>
          <w:sz w:val="20"/>
          <w:szCs w:val="20"/>
        </w:rPr>
      </w:pPr>
      <w:r w:rsidRPr="00CE04DC">
        <w:rPr>
          <w:rFonts w:eastAsia="Aptos"/>
          <w:color w:val="000000"/>
          <w:kern w:val="2"/>
          <w:sz w:val="20"/>
          <w:szCs w:val="20"/>
        </w:rPr>
        <w:t>Considering, 50% prevalence (p=0.5), 90% confidence interval and 5% acceptable margin of error (</w:t>
      </w:r>
      <w:r w:rsidRPr="00CE04DC">
        <w:rPr>
          <w:rFonts w:eastAsia="Aptos"/>
          <w:i/>
          <w:color w:val="000000"/>
          <w:kern w:val="2"/>
          <w:sz w:val="20"/>
          <w:szCs w:val="20"/>
        </w:rPr>
        <w:t>d=0.05</w:t>
      </w:r>
      <w:r w:rsidRPr="00CE04DC">
        <w:rPr>
          <w:rFonts w:eastAsia="Aptos"/>
          <w:color w:val="000000"/>
          <w:kern w:val="2"/>
          <w:sz w:val="20"/>
          <w:szCs w:val="20"/>
        </w:rPr>
        <w:t xml:space="preserve">), the desired sample size </w:t>
      </w:r>
      <w:r w:rsidRPr="00321BE4">
        <w:rPr>
          <w:sz w:val="20"/>
          <w:szCs w:val="20"/>
        </w:rPr>
        <w:t>was around 280. However, the final sample size consisted of 275 participants after accounting for incomplete responses and consent withdrawal.</w:t>
      </w:r>
    </w:p>
    <w:p w14:paraId="3D21E177" w14:textId="77777777" w:rsidR="002A6D5B" w:rsidRPr="00321BE4" w:rsidRDefault="002A6D5B" w:rsidP="002A6D5B">
      <w:pPr>
        <w:spacing w:line="324" w:lineRule="auto"/>
        <w:jc w:val="both"/>
        <w:rPr>
          <w:sz w:val="20"/>
          <w:szCs w:val="20"/>
        </w:rPr>
      </w:pPr>
    </w:p>
    <w:p w14:paraId="3FAD65DE" w14:textId="77777777" w:rsidR="00CE04DC" w:rsidRDefault="00CE04DC" w:rsidP="00CE04DC">
      <w:pPr>
        <w:rPr>
          <w:b/>
          <w:bCs/>
          <w:i/>
          <w:iCs/>
          <w:sz w:val="20"/>
          <w:szCs w:val="20"/>
        </w:rPr>
      </w:pPr>
      <w:r w:rsidRPr="00321BE4">
        <w:rPr>
          <w:b/>
          <w:bCs/>
          <w:i/>
          <w:iCs/>
          <w:sz w:val="20"/>
          <w:szCs w:val="20"/>
        </w:rPr>
        <w:t>Variables</w:t>
      </w:r>
    </w:p>
    <w:p w14:paraId="64FF9F0C" w14:textId="77777777" w:rsidR="002A6D5B" w:rsidRPr="00321BE4" w:rsidRDefault="002A6D5B" w:rsidP="00CE04DC">
      <w:pPr>
        <w:rPr>
          <w:b/>
          <w:bCs/>
          <w:i/>
          <w:iCs/>
          <w:sz w:val="20"/>
          <w:szCs w:val="20"/>
        </w:rPr>
      </w:pPr>
    </w:p>
    <w:p w14:paraId="7A29D2A2" w14:textId="77777777" w:rsidR="00CE04DC" w:rsidRDefault="00CE04DC" w:rsidP="002A6D5B">
      <w:pPr>
        <w:spacing w:line="324" w:lineRule="auto"/>
        <w:jc w:val="both"/>
        <w:rPr>
          <w:sz w:val="20"/>
          <w:szCs w:val="20"/>
        </w:rPr>
      </w:pPr>
      <w:r w:rsidRPr="00321BE4">
        <w:rPr>
          <w:sz w:val="20"/>
          <w:szCs w:val="20"/>
        </w:rPr>
        <w:t xml:space="preserve">The survey instrument consisted of several sections, each designed to gather data on different variables of interest: Questions covered age, education level, family types, employment status, and household income. Working mother stress was calculated using Working mother stress scale questionnaire, which was an 18 item self-report scale with responses from 1 (Strongly Disagree) to 5 (Strongly Agree), allowing scores ranging from 18 to 90. To analyze stress levels, scores were categorized into three levels: Low Stress (18-44 points), Moderate Stress (45-71 points), and High Stress (72-90 points). We employed the 9-item Patient Health Questionnaire (PHQ-9), adapting its scoring into three levels for simplicity: Low (0-9), indicating minimal to mild depression; Medium (10-14), suggesting moderate depression; and High (15-27), representing severe depression </w:t>
      </w:r>
      <w:r w:rsidRPr="00321BE4">
        <w:rPr>
          <w:sz w:val="20"/>
          <w:szCs w:val="20"/>
        </w:rPr>
        <w:fldChar w:fldCharType="begin"/>
      </w:r>
      <w:r w:rsidRPr="00321BE4">
        <w:rPr>
          <w:sz w:val="20"/>
          <w:szCs w:val="20"/>
        </w:rPr>
        <w:instrText xml:space="preserve"> ADDIN ZOTERO_ITEM CSL_CITATION {"citationID":"eoXFXwVn","properties":{"formattedCitation":"(Kroenke &amp; Spitzer, 2002)","plainCitation":"(Kroenke &amp; Spitzer, 2002)","noteIndex":0},"citationItems":[{"id":82,"uris":["http://zotero.org/users/local/66j4yoWm/items/HUDU9T4E"],"itemData":{"id":82,"type":"article-journal","abstract":"Describes a simple, self-administered depression rating scale comparable to more time-consuming, depression rating scales. The patient health questionnaire (9 items; PHQ-9) is based on DSM-IV diagnostic criteria and has been validated in primary care, obstetrics and gynecological patient populations. A shorter version of the PHQ-9 (the PHQ-8) is useful in research settings and is also discussed in the article. An alternative two-item measure for depression screening, known as the PHQ-2, contains the first two items of the PHQ-9 that inquire about depressed mood and anhedonia. (PsycINFO Database Record (c) 2016 APA, all rights reserved)","container-title":"Psychiatric Annals","DOI":"10.3928/0048-5713-20020901-06","ISSN":"1938-2456","issue":"9","note":"publisher-place: US\npublisher: SLACK","page":"509-515","source":"APA PsycNet","title":"The PHQ-9: A new depression diagnostic and severity measure","title-short":"The PHQ-9","volume":"32","author":[{"family":"Kroenke","given":"Kurt"},{"family":"Spitzer","given":"Robert L."}],"issued":{"date-parts":[["2002"]]}}}],"schema":"https://github.com/citation-style-language/schema/raw/master/csl-citation.json"} </w:instrText>
      </w:r>
      <w:r w:rsidRPr="00321BE4">
        <w:rPr>
          <w:sz w:val="20"/>
          <w:szCs w:val="20"/>
        </w:rPr>
        <w:fldChar w:fldCharType="separate"/>
      </w:r>
      <w:r w:rsidRPr="00321BE4">
        <w:rPr>
          <w:sz w:val="20"/>
          <w:szCs w:val="20"/>
        </w:rPr>
        <w:t>(Kroenke &amp; Spitzer, 2002)</w:t>
      </w:r>
      <w:r w:rsidRPr="00321BE4">
        <w:rPr>
          <w:sz w:val="20"/>
          <w:szCs w:val="20"/>
        </w:rPr>
        <w:fldChar w:fldCharType="end"/>
      </w:r>
      <w:r w:rsidRPr="00321BE4">
        <w:rPr>
          <w:sz w:val="20"/>
          <w:szCs w:val="20"/>
        </w:rPr>
        <w:t>.  The Spousal Support Scale was utilized to evaluate the level of support the study participants perceived from their spouses. The scale consists of five items, each rated on a 5-point Likert scale ranging from 1 (Strongly Disagree) to 5 (Strongly Agree), with potential total scores between 5 and 25. We categorized these scores into three levels: Low Support (5-10 points), Moderate Support (11-18 points), and High Support (19-25 points).</w:t>
      </w:r>
      <w:bookmarkStart w:id="5" w:name="_Toc166993741"/>
    </w:p>
    <w:p w14:paraId="68A1110B" w14:textId="77777777" w:rsidR="002A6D5B" w:rsidRPr="00321BE4" w:rsidRDefault="002A6D5B" w:rsidP="002A6D5B">
      <w:pPr>
        <w:spacing w:line="324" w:lineRule="auto"/>
        <w:jc w:val="both"/>
        <w:rPr>
          <w:sz w:val="20"/>
          <w:szCs w:val="20"/>
        </w:rPr>
      </w:pPr>
    </w:p>
    <w:p w14:paraId="31827AA7" w14:textId="77777777" w:rsidR="00CE04DC" w:rsidRDefault="00CE04DC" w:rsidP="00CE04DC">
      <w:pPr>
        <w:jc w:val="both"/>
        <w:rPr>
          <w:b/>
          <w:bCs/>
          <w:i/>
          <w:iCs/>
          <w:sz w:val="20"/>
          <w:szCs w:val="20"/>
        </w:rPr>
      </w:pPr>
      <w:r w:rsidRPr="00321BE4">
        <w:rPr>
          <w:b/>
          <w:bCs/>
          <w:i/>
          <w:iCs/>
          <w:sz w:val="20"/>
          <w:szCs w:val="20"/>
        </w:rPr>
        <w:t>Reliability Analysis</w:t>
      </w:r>
      <w:bookmarkEnd w:id="5"/>
    </w:p>
    <w:p w14:paraId="58C0D7B6" w14:textId="77777777" w:rsidR="002A6D5B" w:rsidRPr="00321BE4" w:rsidRDefault="002A6D5B" w:rsidP="00CE04DC">
      <w:pPr>
        <w:jc w:val="both"/>
        <w:rPr>
          <w:b/>
          <w:bCs/>
          <w:i/>
          <w:iCs/>
          <w:sz w:val="20"/>
          <w:szCs w:val="20"/>
        </w:rPr>
      </w:pPr>
    </w:p>
    <w:p w14:paraId="75A81E6C" w14:textId="77777777" w:rsidR="00CE04DC" w:rsidRDefault="00CE04DC" w:rsidP="002A6D5B">
      <w:pPr>
        <w:spacing w:line="324" w:lineRule="auto"/>
        <w:jc w:val="both"/>
        <w:rPr>
          <w:sz w:val="20"/>
          <w:szCs w:val="20"/>
        </w:rPr>
      </w:pPr>
      <w:r w:rsidRPr="00321BE4">
        <w:rPr>
          <w:sz w:val="20"/>
          <w:szCs w:val="20"/>
        </w:rPr>
        <w:t xml:space="preserve">In this study, the reliability of the measurement scales was quantitatively assessed using Cronbach’s alpha, a standard metric for evaluating the internal consistency of a set of items within a scale </w:t>
      </w:r>
      <w:r w:rsidRPr="00321BE4">
        <w:rPr>
          <w:sz w:val="20"/>
          <w:szCs w:val="20"/>
        </w:rPr>
        <w:fldChar w:fldCharType="begin"/>
      </w:r>
      <w:r w:rsidRPr="00321BE4">
        <w:rPr>
          <w:sz w:val="20"/>
          <w:szCs w:val="20"/>
        </w:rPr>
        <w:instrText xml:space="preserve"> ADDIN ZOTERO_ITEM CSL_CITATION {"citationID":"rHAu9TxR","properties":{"formattedCitation":"(Bonett &amp; Wright, 2014)","plainCitation":"(Bonett &amp; Wright, 2014)","noteIndex":0},"citationItems":[{"id":85,"uris":["http://zotero.org/users/local/66j4yoWm/items/GTG27M6J"],"itemData":{"id":85,"type":"article-journal","abstract":"Cronbach's alpha is one of the most widely used measures of reliability in the social and organizational sciences. Current practice is to report the sample value of Cronbach's alpha reliability, but a confidence interval for the population reliability value also should be reported. The traditional confidence interval for the population value of Cronbach's alpha makes an unnecessarily restrictive assumption that the multiple measurements have equal variances and equal covariances. We propose a confidence interval that does not require equal variances or equal covariances. The results of a simulation study demonstrated that the proposed method performed better than alternative methods. We also present some sample size formulas that approximate the sample size requirements for desired power or desired confidence interval precision. R functions are provided that can be used to implement the proposed confidence interval and sample size methods. Copyright © 2014 John Wiley &amp; Sons, Ltd.","container-title":"Journal of Organizational Behavior","DOI":"10.1002/job.1960","journalAbbreviation":"Journal of Organizational Behavior","source":"ResearchGate","title":"Cronbach's alpha reliability: Interval estimation, hypothesis testing, and sample size planning","title-short":"Cronbach's alpha reliability","volume":"36","author":[{"family":"Bonett","given":"Douglas"},{"family":"Wright","given":"Thomas"}],"issued":{"date-parts":[["2014",10,1]]}}}],"schema":"https://github.com/citation-style-language/schema/raw/master/csl-citation.json"} </w:instrText>
      </w:r>
      <w:r w:rsidRPr="00321BE4">
        <w:rPr>
          <w:sz w:val="20"/>
          <w:szCs w:val="20"/>
        </w:rPr>
        <w:fldChar w:fldCharType="separate"/>
      </w:r>
      <w:r w:rsidRPr="00321BE4">
        <w:rPr>
          <w:sz w:val="20"/>
          <w:szCs w:val="20"/>
        </w:rPr>
        <w:t>(Bonett &amp; Wright, 2014)</w:t>
      </w:r>
      <w:r w:rsidRPr="00321BE4">
        <w:rPr>
          <w:sz w:val="20"/>
          <w:szCs w:val="20"/>
        </w:rPr>
        <w:fldChar w:fldCharType="end"/>
      </w:r>
      <w:r w:rsidRPr="00321BE4">
        <w:rPr>
          <w:sz w:val="20"/>
          <w:szCs w:val="20"/>
        </w:rPr>
        <w:t>. Internal consistency (Cronbach’s alpha) calculated as:</w:t>
      </w:r>
    </w:p>
    <w:p w14:paraId="7555481C" w14:textId="77777777" w:rsidR="002A6D5B" w:rsidRDefault="002A6D5B" w:rsidP="002A6D5B">
      <w:pPr>
        <w:rPr>
          <w:sz w:val="20"/>
          <w:szCs w:val="20"/>
        </w:rPr>
      </w:pPr>
    </w:p>
    <w:p w14:paraId="4DA4198F" w14:textId="2AFF0FE1" w:rsidR="00CE04DC" w:rsidRDefault="002A6D5B" w:rsidP="002A6D5B">
      <w:pPr>
        <w:ind w:firstLine="720"/>
        <w:rPr>
          <w:sz w:val="20"/>
          <w:szCs w:val="20"/>
        </w:rPr>
      </w:pPr>
      <w:r w:rsidRPr="00321BE4">
        <w:rPr>
          <w:position w:val="-18"/>
          <w:sz w:val="20"/>
          <w:szCs w:val="20"/>
        </w:rPr>
        <w:object w:dxaOrig="3220" w:dyaOrig="480" w14:anchorId="731D8942">
          <v:shape id="_x0000_i1026" type="#_x0000_t75" style="width:140.55pt;height:21.15pt" o:ole="">
            <v:imagedata r:id="rId10" o:title=""/>
          </v:shape>
          <o:OLEObject Type="Embed" ProgID="Equation.DSMT4" ShapeID="_x0000_i1026" DrawAspect="Content" ObjectID="_1846227283" r:id="rId11"/>
        </w:object>
      </w:r>
      <w:r w:rsidR="00CE04DC" w:rsidRPr="00321BE4">
        <w:rPr>
          <w:sz w:val="20"/>
          <w:szCs w:val="20"/>
        </w:rPr>
        <w:t>,</w:t>
      </w:r>
    </w:p>
    <w:p w14:paraId="288AF460" w14:textId="77777777" w:rsidR="002A6D5B" w:rsidRPr="00321BE4" w:rsidRDefault="002A6D5B" w:rsidP="00CE04DC">
      <w:pPr>
        <w:jc w:val="center"/>
        <w:rPr>
          <w:sz w:val="20"/>
          <w:szCs w:val="20"/>
        </w:rPr>
      </w:pPr>
    </w:p>
    <w:p w14:paraId="2B755466" w14:textId="77777777" w:rsidR="00CE04DC" w:rsidRPr="00321BE4" w:rsidRDefault="00CE04DC" w:rsidP="002A6D5B">
      <w:pPr>
        <w:spacing w:line="324" w:lineRule="auto"/>
        <w:jc w:val="both"/>
        <w:rPr>
          <w:sz w:val="20"/>
          <w:szCs w:val="20"/>
        </w:rPr>
      </w:pPr>
      <w:r w:rsidRPr="00321BE4">
        <w:rPr>
          <w:sz w:val="20"/>
          <w:szCs w:val="20"/>
        </w:rPr>
        <w:t xml:space="preserve">where </w:t>
      </w:r>
      <w:r w:rsidRPr="00321BE4">
        <w:rPr>
          <w:i/>
          <w:iCs/>
          <w:sz w:val="20"/>
          <w:szCs w:val="20"/>
        </w:rPr>
        <w:t>k</w:t>
      </w:r>
      <w:r w:rsidRPr="00321BE4">
        <w:rPr>
          <w:sz w:val="20"/>
          <w:szCs w:val="20"/>
        </w:rPr>
        <w:t xml:space="preserve"> = items</w:t>
      </w:r>
      <w:r w:rsidRPr="00321BE4">
        <w:rPr>
          <w:i/>
          <w:iCs/>
          <w:sz w:val="20"/>
          <w:szCs w:val="20"/>
        </w:rPr>
        <w:t>, σ²ᵢ</w:t>
      </w:r>
      <w:r w:rsidRPr="00321BE4">
        <w:rPr>
          <w:sz w:val="20"/>
          <w:szCs w:val="20"/>
        </w:rPr>
        <w:t xml:space="preserve"> = item variance, </w:t>
      </w:r>
      <w:r w:rsidRPr="00321BE4">
        <w:rPr>
          <w:i/>
          <w:iCs/>
          <w:sz w:val="20"/>
          <w:szCs w:val="20"/>
        </w:rPr>
        <w:t>σ²ₜ</w:t>
      </w:r>
      <w:r w:rsidRPr="00321BE4">
        <w:rPr>
          <w:sz w:val="20"/>
          <w:szCs w:val="20"/>
        </w:rPr>
        <w:t xml:space="preserve"> = total variance. Target α ≥ 0.70 is acceptable, ≥0.80 is good. </w:t>
      </w:r>
    </w:p>
    <w:p w14:paraId="4F33918A" w14:textId="77777777" w:rsidR="00CE04DC" w:rsidRPr="00321BE4" w:rsidRDefault="00CE04DC" w:rsidP="00CE04DC">
      <w:pPr>
        <w:jc w:val="both"/>
        <w:rPr>
          <w:sz w:val="20"/>
          <w:szCs w:val="20"/>
        </w:rPr>
      </w:pPr>
    </w:p>
    <w:p w14:paraId="086335BA" w14:textId="77777777" w:rsidR="00CE04DC" w:rsidRDefault="00CE04DC" w:rsidP="002A6D5B">
      <w:pPr>
        <w:spacing w:line="324" w:lineRule="auto"/>
        <w:jc w:val="both"/>
        <w:rPr>
          <w:sz w:val="20"/>
          <w:szCs w:val="20"/>
        </w:rPr>
      </w:pPr>
      <w:r w:rsidRPr="00321BE4">
        <w:rPr>
          <w:sz w:val="20"/>
          <w:szCs w:val="20"/>
        </w:rPr>
        <w:t>The Working Mother Stress Scale (WMS-18), comprising 18 items, demonstrated a Cronbach’s alpha of 0.8418, indicating good reliability. Similarly, the Patient Health Questionnaire-9 (PHQ-9), used to assess mothers’ depression symptoms, showed high internal consistency with an alpha of 0.9372. The Spousal Support Scale (SSS-5), consisting of five items, was also found to be internally consistent with a strong alpha of 0.8205. These high reliability coefficients suggest that the scales are robust and reliable for measuring their respective constructs, supporting the validity of the subsequent analyses. After confirmatory factor analysis, the reliability of the existing scale items was further improved as Cronbach’s alpha for the WMS-9 scale increased to 0.894, for the PHQ-9 scale it remained the same at 0.9372, and for the SSS-4 scale it rose to 0.87, indicating enhanced internal efficiency of the measurement tools for measuring mental health among working mothers.</w:t>
      </w:r>
    </w:p>
    <w:p w14:paraId="42B1184C" w14:textId="77777777" w:rsidR="002A6D5B" w:rsidRDefault="002A6D5B" w:rsidP="002A6D5B">
      <w:pPr>
        <w:spacing w:line="324" w:lineRule="auto"/>
        <w:jc w:val="both"/>
        <w:rPr>
          <w:sz w:val="20"/>
          <w:szCs w:val="20"/>
        </w:rPr>
      </w:pPr>
    </w:p>
    <w:p w14:paraId="6110C4D5" w14:textId="77777777" w:rsidR="00CE04DC" w:rsidRDefault="00CE04DC" w:rsidP="00CE04DC">
      <w:pPr>
        <w:rPr>
          <w:b/>
          <w:bCs/>
          <w:i/>
          <w:iCs/>
          <w:sz w:val="20"/>
          <w:szCs w:val="20"/>
        </w:rPr>
      </w:pPr>
      <w:r w:rsidRPr="00321BE4">
        <w:rPr>
          <w:b/>
          <w:bCs/>
          <w:i/>
          <w:iCs/>
          <w:sz w:val="20"/>
          <w:szCs w:val="20"/>
        </w:rPr>
        <w:t>Statistical methods</w:t>
      </w:r>
    </w:p>
    <w:p w14:paraId="5BE14419" w14:textId="77777777" w:rsidR="002A6D5B" w:rsidRPr="00321BE4" w:rsidRDefault="002A6D5B" w:rsidP="00CE04DC">
      <w:pPr>
        <w:rPr>
          <w:b/>
          <w:bCs/>
          <w:i/>
          <w:iCs/>
          <w:sz w:val="20"/>
          <w:szCs w:val="20"/>
        </w:rPr>
      </w:pPr>
    </w:p>
    <w:p w14:paraId="5B5C1C48" w14:textId="77777777" w:rsidR="00CE04DC" w:rsidRPr="00321BE4" w:rsidRDefault="00CE04DC" w:rsidP="002A6D5B">
      <w:pPr>
        <w:spacing w:line="324" w:lineRule="auto"/>
        <w:jc w:val="both"/>
        <w:rPr>
          <w:sz w:val="20"/>
          <w:szCs w:val="20"/>
        </w:rPr>
      </w:pPr>
      <w:r w:rsidRPr="00321BE4">
        <w:rPr>
          <w:sz w:val="20"/>
          <w:szCs w:val="20"/>
        </w:rPr>
        <w:t xml:space="preserve">In our study, we employed a comprehensive data analysis strategy to investigate the collected data using the Working Mother Stress Scale (WMS-18), Patient Health Questionnaire (PHQ-9), and the Spousal Support Scale (SSS-5). </w:t>
      </w:r>
    </w:p>
    <w:p w14:paraId="77B5EE7D" w14:textId="77777777" w:rsidR="00CE04DC" w:rsidRPr="00321BE4" w:rsidRDefault="00CE04DC" w:rsidP="00CE04DC">
      <w:pPr>
        <w:jc w:val="both"/>
        <w:rPr>
          <w:b/>
          <w:bCs/>
          <w:sz w:val="20"/>
          <w:szCs w:val="20"/>
        </w:rPr>
      </w:pPr>
    </w:p>
    <w:p w14:paraId="198B26AD" w14:textId="77777777" w:rsidR="00CE04DC" w:rsidRPr="00321BE4" w:rsidRDefault="00CE04DC" w:rsidP="002A6D5B">
      <w:pPr>
        <w:spacing w:line="324" w:lineRule="auto"/>
        <w:jc w:val="both"/>
        <w:rPr>
          <w:sz w:val="20"/>
          <w:szCs w:val="20"/>
        </w:rPr>
      </w:pPr>
      <w:r w:rsidRPr="00321BE4">
        <w:rPr>
          <w:sz w:val="20"/>
          <w:szCs w:val="20"/>
        </w:rPr>
        <w:t xml:space="preserve">The analysis commenced with Exploratory Data Analysis (EDA) to summarize the dataset using descriptive statistics for both continuous and categorical variables, and to identify outliers using visual tools such as histograms and box plots. This initial analysis was conducted using Stata software version 15. Following EDA, Item Response Analysis (IRA) was conducted to evaluate the reliability and validity of the items across the scales and to ensure that they effectively measured stress, depression, and support. We then used Confirmatory Factor Analysis (CFA) to affirm the hypothesized measurement structures of the scales, adjusting our models based on fit indices such as RMSEA, CFI, and TLI </w:t>
      </w:r>
      <w:r w:rsidRPr="00321BE4">
        <w:rPr>
          <w:sz w:val="20"/>
          <w:szCs w:val="20"/>
        </w:rPr>
        <w:fldChar w:fldCharType="begin"/>
      </w:r>
      <w:r w:rsidRPr="00321BE4">
        <w:rPr>
          <w:sz w:val="20"/>
          <w:szCs w:val="20"/>
        </w:rPr>
        <w:instrText xml:space="preserve"> ADDIN ZOTERO_ITEM CSL_CITATION {"citationID":"6i0And1D","properties":{"formattedCitation":"(Marsh et al., 2020)","plainCitation":"(Marsh et al., 2020)","noteIndex":0},"citationItems":[{"id":52,"uris":["http://zotero.org/users/local/66j4yoWm/items/SVD6YBM3"],"itemData":{"id":52,"type":"article-journal","abstract":"CFAs of multidimensional constructs often fail to meet standards of good measurement (e.g., goodness-of-fit, measurement invariance, and well-differentiated factors). Exploratory structural equation modeling (ESEM) represents a compromise between exploratory factor analysis’ (EFA) flexibility, and CFA/SEM’s rigor and parsimony, but lacks parsimony (particularly in large models) and might confound constructs that need to be kept separate. In Set-ESEM, two or more a priori sets of constructs are modeled within a single model such that cross-loadings are permissible within the same set of factors (as in Full-ESEM) but are constrained to be zero for factors in different sets (as in CFA). The different sets can reflect the same set of constructs on multiple occasions, and/or different constructs measured within the same wave. Hence, Set-ESEM that represents a middle-ground between the flexibility of traditional-ESEM (hereafter referred to as Full-ESEM) and the rigor and parsimony of CFA/SEM. Thus, the purposes of this article are to provide an overview tutorial on Set-ESEM, juxtapose it with Full-ESEM, and to illustrate its application with simulated data and diverse “real” data applications with accessible, heuristic explanations of best practice.","container-title":"Multivariate Behavioral Research","DOI":"10.1080/00273171.2019.1602503","ISSN":"0027-3171","issue":"1","note":"publisher: Routledge\n_eprint: https://doi.org/10.1080/00273171.2019.1602503\nPMID: 31204844","page":"102–119","source":"Taylor and Francis+NEJM","title":"Confirmatory Factor Analysis (CFA), Exploratory Structural Equation Modeling (ESEM), and Set-ESEM: Optimal Balance Between Goodness of Fit and Parsimony","title-short":"Confirmatory Factor Analysis (CFA), Exploratory Structural Equation Modeling (ESEM), and Set-ESEM","volume":"55","author":[{"family":"Marsh","given":"Herbert W."},{"family":"Guo","given":"Jiesi"},{"family":"Dicke","given":"Theresa"},{"family":"Parker","given":"Philip D."},{"family":"Craven","given":"Rhonda G."}],"issued":{"date-parts":[["2020",1,2]]}}}],"schema":"https://github.com/citation-style-language/schema/raw/master/csl-citation.json"} </w:instrText>
      </w:r>
      <w:r w:rsidRPr="00321BE4">
        <w:rPr>
          <w:sz w:val="20"/>
          <w:szCs w:val="20"/>
        </w:rPr>
        <w:fldChar w:fldCharType="separate"/>
      </w:r>
      <w:r w:rsidRPr="00321BE4">
        <w:rPr>
          <w:sz w:val="20"/>
          <w:szCs w:val="20"/>
        </w:rPr>
        <w:t>(Marsh et al., 2020)</w:t>
      </w:r>
      <w:r w:rsidRPr="00321BE4">
        <w:rPr>
          <w:sz w:val="20"/>
          <w:szCs w:val="20"/>
        </w:rPr>
        <w:fldChar w:fldCharType="end"/>
      </w:r>
      <w:r w:rsidRPr="00321BE4">
        <w:rPr>
          <w:sz w:val="20"/>
          <w:szCs w:val="20"/>
        </w:rPr>
        <w:t>. Structural Equation Modeling (SEM) was subsequently used to explore complex relationships and pathways among spousal support, working mother stress, and the mental health outcomes of working mothers, while adjusting for confounders such as socio-economic status and the number of living children. This sequential approach ensures findings are based on valid measurements and described below.</w:t>
      </w:r>
    </w:p>
    <w:p w14:paraId="0A5778AB" w14:textId="77777777" w:rsidR="00CE04DC" w:rsidRPr="00321BE4" w:rsidRDefault="00CE04DC" w:rsidP="00CE04DC">
      <w:pPr>
        <w:jc w:val="both"/>
        <w:rPr>
          <w:sz w:val="20"/>
          <w:szCs w:val="20"/>
        </w:rPr>
      </w:pPr>
    </w:p>
    <w:p w14:paraId="58BCE5FA" w14:textId="77777777" w:rsidR="00CE04DC" w:rsidRDefault="00CE04DC" w:rsidP="00CE04DC">
      <w:pPr>
        <w:rPr>
          <w:b/>
          <w:bCs/>
          <w:sz w:val="20"/>
          <w:szCs w:val="20"/>
        </w:rPr>
      </w:pPr>
      <w:r w:rsidRPr="00321BE4">
        <w:rPr>
          <w:b/>
          <w:bCs/>
          <w:sz w:val="20"/>
          <w:szCs w:val="20"/>
        </w:rPr>
        <w:t>Stage 1: Exploratory Factor Analysis (EFA)</w:t>
      </w:r>
    </w:p>
    <w:p w14:paraId="0BB72DE6" w14:textId="77777777" w:rsidR="002A6D5B" w:rsidRPr="00321BE4" w:rsidRDefault="002A6D5B" w:rsidP="00CE04DC">
      <w:pPr>
        <w:rPr>
          <w:b/>
          <w:bCs/>
          <w:sz w:val="20"/>
          <w:szCs w:val="20"/>
        </w:rPr>
      </w:pPr>
    </w:p>
    <w:p w14:paraId="61CF87F4" w14:textId="77777777" w:rsidR="00CE04DC" w:rsidRDefault="00CE04DC" w:rsidP="002A6D5B">
      <w:pPr>
        <w:spacing w:line="324" w:lineRule="auto"/>
        <w:jc w:val="both"/>
        <w:rPr>
          <w:sz w:val="20"/>
          <w:szCs w:val="20"/>
        </w:rPr>
      </w:pPr>
      <w:r w:rsidRPr="00321BE4">
        <w:rPr>
          <w:sz w:val="20"/>
          <w:szCs w:val="20"/>
        </w:rPr>
        <w:t>Exploratory Factor Analysis identifies underlying factor structure without imposing constraints. The EFA model assumes observed variables are linear combinations of latent factors:</w:t>
      </w:r>
    </w:p>
    <w:p w14:paraId="7ED74A7A" w14:textId="77777777" w:rsidR="002A6D5B" w:rsidRPr="00321BE4" w:rsidRDefault="002A6D5B" w:rsidP="00CE04DC">
      <w:pPr>
        <w:jc w:val="both"/>
        <w:rPr>
          <w:sz w:val="20"/>
          <w:szCs w:val="20"/>
        </w:rPr>
      </w:pPr>
    </w:p>
    <w:p w14:paraId="719F7733" w14:textId="77777777" w:rsidR="00CE04DC" w:rsidRPr="00321BE4" w:rsidRDefault="00CE04DC" w:rsidP="002A6D5B">
      <w:pPr>
        <w:ind w:firstLine="720"/>
        <w:rPr>
          <w:sz w:val="20"/>
          <w:szCs w:val="20"/>
        </w:rPr>
      </w:pPr>
      <w:r w:rsidRPr="00321BE4">
        <w:rPr>
          <w:position w:val="-12"/>
          <w:sz w:val="20"/>
          <w:szCs w:val="20"/>
        </w:rPr>
        <w:object w:dxaOrig="1260" w:dyaOrig="360" w14:anchorId="4F27ADAD">
          <v:shape id="_x0000_i1027" type="#_x0000_t75" style="width:63.15pt;height:18pt" o:ole="">
            <v:imagedata r:id="rId12" o:title=""/>
          </v:shape>
          <o:OLEObject Type="Embed" ProgID="Equation.DSMT4" ShapeID="_x0000_i1027" DrawAspect="Content" ObjectID="_1846227284" r:id="rId13"/>
        </w:object>
      </w:r>
      <w:r w:rsidRPr="00321BE4">
        <w:rPr>
          <w:sz w:val="20"/>
          <w:szCs w:val="20"/>
        </w:rPr>
        <w:t>,</w:t>
      </w:r>
    </w:p>
    <w:p w14:paraId="0DACDE62" w14:textId="77777777" w:rsidR="00CE04DC" w:rsidRPr="00321BE4" w:rsidRDefault="00CE04DC" w:rsidP="002A6D5B">
      <w:pPr>
        <w:spacing w:line="324" w:lineRule="auto"/>
        <w:jc w:val="both"/>
        <w:rPr>
          <w:sz w:val="20"/>
          <w:szCs w:val="20"/>
        </w:rPr>
      </w:pPr>
      <w:r w:rsidRPr="00321BE4">
        <w:rPr>
          <w:sz w:val="20"/>
          <w:szCs w:val="20"/>
        </w:rPr>
        <w:t xml:space="preserve">where </w:t>
      </w:r>
      <w:r w:rsidRPr="00321BE4">
        <w:rPr>
          <w:position w:val="-12"/>
          <w:sz w:val="20"/>
          <w:szCs w:val="20"/>
        </w:rPr>
        <w:object w:dxaOrig="300" w:dyaOrig="360" w14:anchorId="403E93B3">
          <v:shape id="_x0000_i1028" type="#_x0000_t75" style="width:15.15pt;height:18pt" o:ole="">
            <v:imagedata r:id="rId14" o:title=""/>
          </v:shape>
          <o:OLEObject Type="Embed" ProgID="Equation.DSMT4" ShapeID="_x0000_i1028" DrawAspect="Content" ObjectID="_1846227285" r:id="rId15"/>
        </w:object>
      </w:r>
      <w:r w:rsidRPr="00321BE4">
        <w:rPr>
          <w:sz w:val="20"/>
          <w:szCs w:val="20"/>
        </w:rPr>
        <w:t xml:space="preserve">= vector of observed items; </w:t>
      </w:r>
      <w:r w:rsidRPr="00321BE4">
        <w:rPr>
          <w:position w:val="-4"/>
          <w:sz w:val="20"/>
          <w:szCs w:val="20"/>
        </w:rPr>
        <w:object w:dxaOrig="240" w:dyaOrig="260" w14:anchorId="3BB5094D">
          <v:shape id="_x0000_i1029" type="#_x0000_t75" style="width:12pt;height:13.25pt" o:ole="">
            <v:imagedata r:id="rId16" o:title=""/>
          </v:shape>
          <o:OLEObject Type="Embed" ProgID="Equation.DSMT4" ShapeID="_x0000_i1029" DrawAspect="Content" ObjectID="_1846227286" r:id="rId17"/>
        </w:object>
      </w:r>
      <w:r w:rsidRPr="00321BE4">
        <w:rPr>
          <w:sz w:val="20"/>
          <w:szCs w:val="20"/>
        </w:rPr>
        <w:t xml:space="preserve"> = matrix of factor loadings; </w:t>
      </w:r>
      <w:r w:rsidRPr="00321BE4">
        <w:rPr>
          <w:position w:val="-12"/>
          <w:sz w:val="20"/>
          <w:szCs w:val="20"/>
        </w:rPr>
        <w:object w:dxaOrig="240" w:dyaOrig="360" w14:anchorId="2B32AF8F">
          <v:shape id="_x0000_i1030" type="#_x0000_t75" style="width:12pt;height:18pt" o:ole="">
            <v:imagedata r:id="rId18" o:title=""/>
          </v:shape>
          <o:OLEObject Type="Embed" ProgID="Equation.DSMT4" ShapeID="_x0000_i1030" DrawAspect="Content" ObjectID="_1846227287" r:id="rId19"/>
        </w:object>
      </w:r>
      <w:r w:rsidRPr="00321BE4">
        <w:rPr>
          <w:sz w:val="20"/>
          <w:szCs w:val="20"/>
        </w:rPr>
        <w:t xml:space="preserve"> = vector of latent factors; </w:t>
      </w:r>
      <w:r w:rsidRPr="00321BE4">
        <w:rPr>
          <w:position w:val="-12"/>
          <w:sz w:val="20"/>
          <w:szCs w:val="20"/>
        </w:rPr>
        <w:object w:dxaOrig="240" w:dyaOrig="360" w14:anchorId="5285B998">
          <v:shape id="_x0000_i1031" type="#_x0000_t75" style="width:12pt;height:18pt" o:ole="">
            <v:imagedata r:id="rId20" o:title=""/>
          </v:shape>
          <o:OLEObject Type="Embed" ProgID="Equation.DSMT4" ShapeID="_x0000_i1031" DrawAspect="Content" ObjectID="_1846227288" r:id="rId21"/>
        </w:object>
      </w:r>
      <w:r w:rsidRPr="00321BE4">
        <w:rPr>
          <w:sz w:val="20"/>
          <w:szCs w:val="20"/>
        </w:rPr>
        <w:t xml:space="preserve"> = vector of residuals/measurement error. The model-implied covariance structure is:</w:t>
      </w:r>
    </w:p>
    <w:p w14:paraId="3BDC1D02" w14:textId="77777777" w:rsidR="00CE04DC" w:rsidRDefault="00CE04DC" w:rsidP="002A6D5B">
      <w:pPr>
        <w:ind w:firstLine="720"/>
        <w:rPr>
          <w:sz w:val="20"/>
          <w:szCs w:val="20"/>
        </w:rPr>
      </w:pPr>
      <w:r w:rsidRPr="00321BE4">
        <w:rPr>
          <w:position w:val="-4"/>
          <w:sz w:val="20"/>
          <w:szCs w:val="20"/>
        </w:rPr>
        <w:object w:dxaOrig="1800" w:dyaOrig="300" w14:anchorId="6F2DE258">
          <v:shape id="_x0000_i1032" type="#_x0000_t75" style="width:90pt;height:15.15pt" o:ole="">
            <v:imagedata r:id="rId22" o:title=""/>
          </v:shape>
          <o:OLEObject Type="Embed" ProgID="Equation.DSMT4" ShapeID="_x0000_i1032" DrawAspect="Content" ObjectID="_1846227289" r:id="rId23"/>
        </w:object>
      </w:r>
      <w:r w:rsidRPr="00321BE4">
        <w:rPr>
          <w:sz w:val="20"/>
          <w:szCs w:val="20"/>
        </w:rPr>
        <w:t>,</w:t>
      </w:r>
    </w:p>
    <w:p w14:paraId="25F5CB9C" w14:textId="77777777" w:rsidR="002A6D5B" w:rsidRPr="00321BE4" w:rsidRDefault="002A6D5B" w:rsidP="00CE04DC">
      <w:pPr>
        <w:jc w:val="center"/>
        <w:rPr>
          <w:sz w:val="20"/>
          <w:szCs w:val="20"/>
        </w:rPr>
      </w:pPr>
    </w:p>
    <w:p w14:paraId="0651B38A" w14:textId="77777777" w:rsidR="00CE04DC" w:rsidRPr="00321BE4" w:rsidRDefault="00CE04DC" w:rsidP="002A6D5B">
      <w:pPr>
        <w:spacing w:line="324" w:lineRule="auto"/>
        <w:jc w:val="both"/>
        <w:rPr>
          <w:sz w:val="20"/>
          <w:szCs w:val="20"/>
        </w:rPr>
      </w:pPr>
      <w:r w:rsidRPr="00321BE4">
        <w:rPr>
          <w:sz w:val="20"/>
          <w:szCs w:val="20"/>
        </w:rPr>
        <w:t xml:space="preserve">where Φ = factor covariance matrix, Ψ = unique variance diagonal matrix. Before EFA, factorability was assessed using the Kaiser-Meyer-Olkin (KMO) test with a target KMO &gt; 0.50 and Bartlett’s test of sphericity with p &lt; 0.001. Maximum Likelihood extraction was employed because it provides statistical rigor, standard errors, and fit testing. </w:t>
      </w:r>
    </w:p>
    <w:p w14:paraId="0761787F" w14:textId="77777777" w:rsidR="00CE04DC" w:rsidRPr="00321BE4" w:rsidRDefault="00CE04DC" w:rsidP="00CE04DC">
      <w:pPr>
        <w:jc w:val="both"/>
        <w:rPr>
          <w:sz w:val="20"/>
          <w:szCs w:val="20"/>
        </w:rPr>
      </w:pPr>
    </w:p>
    <w:p w14:paraId="41585EED" w14:textId="77777777" w:rsidR="00CE04DC" w:rsidRDefault="00CE04DC" w:rsidP="00CE04DC">
      <w:pPr>
        <w:jc w:val="both"/>
        <w:rPr>
          <w:b/>
          <w:bCs/>
          <w:sz w:val="20"/>
          <w:szCs w:val="20"/>
        </w:rPr>
      </w:pPr>
      <w:r w:rsidRPr="00321BE4">
        <w:rPr>
          <w:b/>
          <w:bCs/>
          <w:sz w:val="20"/>
          <w:szCs w:val="20"/>
        </w:rPr>
        <w:t>Stage 2: Item Response Theory (IRT) Analysis</w:t>
      </w:r>
    </w:p>
    <w:p w14:paraId="0EFB36A6" w14:textId="77777777" w:rsidR="002A6D5B" w:rsidRPr="00321BE4" w:rsidRDefault="002A6D5B" w:rsidP="00CE04DC">
      <w:pPr>
        <w:jc w:val="both"/>
        <w:rPr>
          <w:b/>
          <w:bCs/>
          <w:sz w:val="20"/>
          <w:szCs w:val="20"/>
        </w:rPr>
      </w:pPr>
    </w:p>
    <w:p w14:paraId="763E8C2D" w14:textId="77777777" w:rsidR="00CE04DC" w:rsidRDefault="00CE04DC" w:rsidP="002A6D5B">
      <w:pPr>
        <w:spacing w:line="324" w:lineRule="auto"/>
        <w:jc w:val="both"/>
        <w:rPr>
          <w:sz w:val="20"/>
          <w:szCs w:val="20"/>
        </w:rPr>
      </w:pPr>
      <w:r w:rsidRPr="00321BE4">
        <w:rPr>
          <w:sz w:val="20"/>
          <w:szCs w:val="20"/>
        </w:rPr>
        <w:t>IRT provides item-level diagnostics examining how individuals with different trait levels respond to items. The Graded Response Model for polytomous responses is:</w:t>
      </w:r>
    </w:p>
    <w:p w14:paraId="1BAEF44C" w14:textId="77777777" w:rsidR="002A6D5B" w:rsidRDefault="002A6D5B" w:rsidP="002A6D5B">
      <w:pPr>
        <w:spacing w:line="324" w:lineRule="auto"/>
        <w:jc w:val="both"/>
        <w:rPr>
          <w:sz w:val="20"/>
          <w:szCs w:val="20"/>
        </w:rPr>
      </w:pPr>
    </w:p>
    <w:p w14:paraId="589491A2" w14:textId="1FC35720" w:rsidR="00CE04DC" w:rsidRDefault="002A6D5B" w:rsidP="002A6D5B">
      <w:pPr>
        <w:ind w:firstLine="720"/>
        <w:rPr>
          <w:sz w:val="20"/>
          <w:szCs w:val="20"/>
        </w:rPr>
      </w:pPr>
      <w:r w:rsidRPr="00321BE4">
        <w:rPr>
          <w:position w:val="-20"/>
          <w:sz w:val="20"/>
          <w:szCs w:val="20"/>
        </w:rPr>
        <w:object w:dxaOrig="4840" w:dyaOrig="520" w14:anchorId="4E5139E9">
          <v:shape id="_x0000_i1033" type="#_x0000_t75" style="width:217.9pt;height:23.35pt" o:ole="">
            <v:imagedata r:id="rId24" o:title=""/>
          </v:shape>
          <o:OLEObject Type="Embed" ProgID="Equation.DSMT4" ShapeID="_x0000_i1033" DrawAspect="Content" ObjectID="_1846227290" r:id="rId25"/>
        </w:object>
      </w:r>
      <w:r w:rsidR="00CE04DC" w:rsidRPr="00321BE4">
        <w:rPr>
          <w:sz w:val="20"/>
          <w:szCs w:val="20"/>
        </w:rPr>
        <w:t>,</w:t>
      </w:r>
    </w:p>
    <w:p w14:paraId="30DE068A" w14:textId="77777777" w:rsidR="002A6D5B" w:rsidRPr="00321BE4" w:rsidRDefault="002A6D5B" w:rsidP="00CE04DC">
      <w:pPr>
        <w:jc w:val="center"/>
        <w:rPr>
          <w:sz w:val="20"/>
          <w:szCs w:val="20"/>
        </w:rPr>
      </w:pPr>
    </w:p>
    <w:p w14:paraId="56A3D449" w14:textId="77777777" w:rsidR="00CE04DC" w:rsidRPr="00321BE4" w:rsidRDefault="00CE04DC" w:rsidP="00FD2373">
      <w:pPr>
        <w:spacing w:line="324" w:lineRule="auto"/>
        <w:jc w:val="both"/>
        <w:rPr>
          <w:sz w:val="20"/>
          <w:szCs w:val="20"/>
        </w:rPr>
      </w:pPr>
      <w:r w:rsidRPr="00321BE4">
        <w:rPr>
          <w:sz w:val="20"/>
          <w:szCs w:val="20"/>
        </w:rPr>
        <w:t xml:space="preserve">where </w:t>
      </w:r>
      <w:r w:rsidRPr="00321BE4">
        <w:rPr>
          <w:i/>
          <w:iCs/>
          <w:sz w:val="20"/>
          <w:szCs w:val="20"/>
        </w:rPr>
        <w:t>P*ᵢ,ₖ</w:t>
      </w:r>
      <w:r w:rsidRPr="00321BE4">
        <w:rPr>
          <w:sz w:val="20"/>
          <w:szCs w:val="20"/>
        </w:rPr>
        <w:t xml:space="preserve"> = cumulative probability of endorsing category </w:t>
      </w:r>
      <w:r w:rsidRPr="00321BE4">
        <w:rPr>
          <w:i/>
          <w:iCs/>
          <w:sz w:val="20"/>
          <w:szCs w:val="20"/>
        </w:rPr>
        <w:t>k</w:t>
      </w:r>
      <w:r w:rsidRPr="00321BE4">
        <w:rPr>
          <w:sz w:val="20"/>
          <w:szCs w:val="20"/>
        </w:rPr>
        <w:t xml:space="preserve"> or higher; </w:t>
      </w:r>
      <w:r w:rsidRPr="00321BE4">
        <w:rPr>
          <w:i/>
          <w:iCs/>
          <w:sz w:val="20"/>
          <w:szCs w:val="20"/>
        </w:rPr>
        <w:t>aᵢ</w:t>
      </w:r>
      <w:r w:rsidRPr="00321BE4">
        <w:rPr>
          <w:sz w:val="20"/>
          <w:szCs w:val="20"/>
        </w:rPr>
        <w:t xml:space="preserve"> = discrimination parameter (how well item differentiates across trait levels); </w:t>
      </w:r>
      <w:r w:rsidRPr="00321BE4">
        <w:rPr>
          <w:i/>
          <w:iCs/>
          <w:sz w:val="20"/>
          <w:szCs w:val="20"/>
        </w:rPr>
        <w:t>bᵢ,ₖ</w:t>
      </w:r>
      <w:r w:rsidRPr="00321BE4">
        <w:rPr>
          <w:sz w:val="20"/>
          <w:szCs w:val="20"/>
        </w:rPr>
        <w:t xml:space="preserve"> = difficulty parameter. Discrimination interpretation: </w:t>
      </w:r>
      <w:r w:rsidRPr="00321BE4">
        <w:rPr>
          <w:i/>
          <w:iCs/>
          <w:sz w:val="20"/>
          <w:szCs w:val="20"/>
        </w:rPr>
        <w:t xml:space="preserve">aᵢ </w:t>
      </w:r>
      <w:r w:rsidRPr="00321BE4">
        <w:rPr>
          <w:sz w:val="20"/>
          <w:szCs w:val="20"/>
        </w:rPr>
        <w:t>&gt; 1.5 (strong), 0.5–1.5 (moderate), &lt;0.5 (weak), &lt;0 (problematic). Parameters estimated via Marginal Maximum Likelihood with EM algorithm.</w:t>
      </w:r>
    </w:p>
    <w:p w14:paraId="6613C597" w14:textId="77777777" w:rsidR="00CE04DC" w:rsidRPr="00321BE4" w:rsidRDefault="00CE04DC" w:rsidP="00CE04DC">
      <w:pPr>
        <w:rPr>
          <w:b/>
          <w:bCs/>
          <w:sz w:val="20"/>
          <w:szCs w:val="20"/>
        </w:rPr>
      </w:pPr>
    </w:p>
    <w:p w14:paraId="1F90203A" w14:textId="77777777" w:rsidR="00CE04DC" w:rsidRDefault="00CE04DC" w:rsidP="00CE04DC">
      <w:pPr>
        <w:rPr>
          <w:b/>
          <w:bCs/>
          <w:sz w:val="20"/>
          <w:szCs w:val="20"/>
        </w:rPr>
      </w:pPr>
      <w:r w:rsidRPr="00321BE4">
        <w:rPr>
          <w:b/>
          <w:bCs/>
          <w:sz w:val="20"/>
          <w:szCs w:val="20"/>
        </w:rPr>
        <w:t>Stage 3: Confirmatory Factor Analysis (CFA)</w:t>
      </w:r>
    </w:p>
    <w:p w14:paraId="117BFCDC" w14:textId="77777777" w:rsidR="00FD2373" w:rsidRPr="00321BE4" w:rsidRDefault="00FD2373" w:rsidP="00CE04DC">
      <w:pPr>
        <w:rPr>
          <w:b/>
          <w:bCs/>
          <w:sz w:val="20"/>
          <w:szCs w:val="20"/>
        </w:rPr>
      </w:pPr>
    </w:p>
    <w:p w14:paraId="773119E6" w14:textId="77777777" w:rsidR="00CE04DC" w:rsidRDefault="00CE04DC" w:rsidP="00CE04DC">
      <w:pPr>
        <w:jc w:val="both"/>
        <w:rPr>
          <w:sz w:val="20"/>
          <w:szCs w:val="20"/>
        </w:rPr>
      </w:pPr>
      <w:r w:rsidRPr="00321BE4">
        <w:rPr>
          <w:sz w:val="20"/>
          <w:szCs w:val="20"/>
        </w:rPr>
        <w:t>CFA tests one-dimensionality using measurement model:</w:t>
      </w:r>
    </w:p>
    <w:p w14:paraId="5352334D" w14:textId="77777777" w:rsidR="00FD2373" w:rsidRPr="00321BE4" w:rsidRDefault="00FD2373" w:rsidP="00CE04DC">
      <w:pPr>
        <w:jc w:val="both"/>
        <w:rPr>
          <w:sz w:val="20"/>
          <w:szCs w:val="20"/>
        </w:rPr>
      </w:pPr>
    </w:p>
    <w:p w14:paraId="31BB7BAD" w14:textId="77777777" w:rsidR="00CE04DC" w:rsidRDefault="00CE04DC" w:rsidP="00FD2373">
      <w:pPr>
        <w:ind w:firstLine="720"/>
        <w:rPr>
          <w:sz w:val="20"/>
          <w:szCs w:val="20"/>
        </w:rPr>
      </w:pPr>
      <w:r w:rsidRPr="00321BE4">
        <w:rPr>
          <w:position w:val="-10"/>
          <w:sz w:val="20"/>
          <w:szCs w:val="20"/>
        </w:rPr>
        <w:object w:dxaOrig="1420" w:dyaOrig="320" w14:anchorId="1D2787DF">
          <v:shape id="_x0000_i1034" type="#_x0000_t75" style="width:70.75pt;height:16.1pt" o:ole="">
            <v:imagedata r:id="rId26" o:title=""/>
          </v:shape>
          <o:OLEObject Type="Embed" ProgID="Equation.DSMT4" ShapeID="_x0000_i1034" DrawAspect="Content" ObjectID="_1846227291" r:id="rId27"/>
        </w:object>
      </w:r>
      <w:r w:rsidRPr="00321BE4">
        <w:rPr>
          <w:sz w:val="20"/>
          <w:szCs w:val="20"/>
        </w:rPr>
        <w:t>.</w:t>
      </w:r>
    </w:p>
    <w:p w14:paraId="3A835861" w14:textId="77777777" w:rsidR="00FD2373" w:rsidRPr="00321BE4" w:rsidRDefault="00FD2373" w:rsidP="00FD2373">
      <w:pPr>
        <w:ind w:firstLine="720"/>
        <w:rPr>
          <w:sz w:val="20"/>
          <w:szCs w:val="20"/>
        </w:rPr>
      </w:pPr>
    </w:p>
    <w:p w14:paraId="00845DB7" w14:textId="77777777" w:rsidR="00CE04DC" w:rsidRDefault="00CE04DC" w:rsidP="00CE04DC">
      <w:pPr>
        <w:jc w:val="both"/>
        <w:rPr>
          <w:sz w:val="20"/>
          <w:szCs w:val="20"/>
        </w:rPr>
      </w:pPr>
      <w:r w:rsidRPr="00321BE4">
        <w:rPr>
          <w:sz w:val="20"/>
          <w:szCs w:val="20"/>
        </w:rPr>
        <w:t>With model-implied covariance:</w:t>
      </w:r>
    </w:p>
    <w:p w14:paraId="2D1EB0FF" w14:textId="77777777" w:rsidR="00FD2373" w:rsidRDefault="00FD2373" w:rsidP="00FD2373">
      <w:pPr>
        <w:rPr>
          <w:sz w:val="20"/>
          <w:szCs w:val="20"/>
        </w:rPr>
      </w:pPr>
    </w:p>
    <w:p w14:paraId="710BDBFE" w14:textId="1E47373C" w:rsidR="00CE04DC" w:rsidRDefault="00CE04DC" w:rsidP="00FD2373">
      <w:pPr>
        <w:ind w:firstLine="720"/>
        <w:rPr>
          <w:sz w:val="20"/>
          <w:szCs w:val="20"/>
        </w:rPr>
      </w:pPr>
      <w:r w:rsidRPr="00321BE4">
        <w:rPr>
          <w:position w:val="-14"/>
          <w:sz w:val="20"/>
          <w:szCs w:val="20"/>
        </w:rPr>
        <w:object w:dxaOrig="2079" w:dyaOrig="400" w14:anchorId="109442E4">
          <v:shape id="_x0000_i1035" type="#_x0000_t75" style="width:103.9pt;height:19.9pt" o:ole="">
            <v:imagedata r:id="rId28" o:title=""/>
          </v:shape>
          <o:OLEObject Type="Embed" ProgID="Equation.DSMT4" ShapeID="_x0000_i1035" DrawAspect="Content" ObjectID="_1846227292" r:id="rId29"/>
        </w:object>
      </w:r>
      <w:r w:rsidRPr="00321BE4">
        <w:rPr>
          <w:sz w:val="20"/>
          <w:szCs w:val="20"/>
        </w:rPr>
        <w:t>.</w:t>
      </w:r>
    </w:p>
    <w:p w14:paraId="71A78CF2" w14:textId="77777777" w:rsidR="00FD2373" w:rsidRPr="00321BE4" w:rsidRDefault="00FD2373" w:rsidP="00FD2373">
      <w:pPr>
        <w:ind w:firstLine="720"/>
        <w:rPr>
          <w:sz w:val="20"/>
          <w:szCs w:val="20"/>
        </w:rPr>
      </w:pPr>
    </w:p>
    <w:p w14:paraId="6F03870C" w14:textId="77777777" w:rsidR="00CE04DC" w:rsidRDefault="00CE04DC" w:rsidP="00CE04DC">
      <w:pPr>
        <w:jc w:val="both"/>
        <w:rPr>
          <w:sz w:val="20"/>
          <w:szCs w:val="20"/>
        </w:rPr>
      </w:pPr>
      <w:r w:rsidRPr="00321BE4">
        <w:rPr>
          <w:sz w:val="20"/>
          <w:szCs w:val="20"/>
        </w:rPr>
        <w:t>ML estimation minimizes fit function:</w:t>
      </w:r>
    </w:p>
    <w:p w14:paraId="1F23E3F8" w14:textId="77777777" w:rsidR="00FD2373" w:rsidRDefault="00FD2373" w:rsidP="00FD2373">
      <w:pPr>
        <w:rPr>
          <w:sz w:val="20"/>
          <w:szCs w:val="20"/>
        </w:rPr>
      </w:pPr>
    </w:p>
    <w:p w14:paraId="7560D2C3" w14:textId="028E10B7" w:rsidR="00CE04DC" w:rsidRDefault="00CE04DC" w:rsidP="00FD2373">
      <w:pPr>
        <w:ind w:firstLine="720"/>
        <w:rPr>
          <w:sz w:val="20"/>
          <w:szCs w:val="20"/>
        </w:rPr>
      </w:pPr>
      <w:r w:rsidRPr="00321BE4">
        <w:rPr>
          <w:position w:val="-20"/>
          <w:sz w:val="20"/>
          <w:szCs w:val="20"/>
        </w:rPr>
        <w:object w:dxaOrig="4020" w:dyaOrig="520" w14:anchorId="22D6E63E">
          <v:shape id="_x0000_i1036" type="#_x0000_t75" style="width:201.15pt;height:25.9pt" o:ole="">
            <v:imagedata r:id="rId30" o:title=""/>
          </v:shape>
          <o:OLEObject Type="Embed" ProgID="Equation.DSMT4" ShapeID="_x0000_i1036" DrawAspect="Content" ObjectID="_1846227293" r:id="rId31"/>
        </w:object>
      </w:r>
      <w:r w:rsidRPr="00321BE4">
        <w:rPr>
          <w:sz w:val="20"/>
          <w:szCs w:val="20"/>
        </w:rPr>
        <w:t>.</w:t>
      </w:r>
    </w:p>
    <w:p w14:paraId="35FCBDBC" w14:textId="77777777" w:rsidR="00FD2373" w:rsidRPr="00321BE4" w:rsidRDefault="00FD2373" w:rsidP="00FD2373">
      <w:pPr>
        <w:ind w:firstLine="720"/>
        <w:rPr>
          <w:sz w:val="20"/>
          <w:szCs w:val="20"/>
        </w:rPr>
      </w:pPr>
    </w:p>
    <w:p w14:paraId="1E828957" w14:textId="77777777" w:rsidR="00CE04DC" w:rsidRPr="00321BE4" w:rsidRDefault="00CE04DC" w:rsidP="00FD2373">
      <w:pPr>
        <w:spacing w:line="324" w:lineRule="auto"/>
        <w:jc w:val="both"/>
        <w:rPr>
          <w:sz w:val="20"/>
          <w:szCs w:val="20"/>
        </w:rPr>
      </w:pPr>
      <w:r w:rsidRPr="00321BE4">
        <w:rPr>
          <w:sz w:val="20"/>
          <w:szCs w:val="20"/>
        </w:rPr>
        <w:t xml:space="preserve">Six fit indices including RMSEA (target &lt;0.05), CFI (target &gt;0.95), TLI (target &gt;0.95), SRMR (target &lt;0.05), GFI (target &gt;0.90), χ² (non-significant preferred) were evaluated. </w:t>
      </w:r>
    </w:p>
    <w:p w14:paraId="10DB83E2" w14:textId="77777777" w:rsidR="00CE04DC" w:rsidRDefault="00CE04DC" w:rsidP="00CE04DC">
      <w:pPr>
        <w:jc w:val="both"/>
        <w:rPr>
          <w:sz w:val="20"/>
          <w:szCs w:val="20"/>
        </w:rPr>
      </w:pPr>
    </w:p>
    <w:p w14:paraId="22714FEC" w14:textId="77777777" w:rsidR="00FD2373" w:rsidRPr="00321BE4" w:rsidRDefault="00FD2373" w:rsidP="00CE04DC">
      <w:pPr>
        <w:jc w:val="both"/>
        <w:rPr>
          <w:sz w:val="20"/>
          <w:szCs w:val="20"/>
        </w:rPr>
      </w:pPr>
    </w:p>
    <w:p w14:paraId="505F2E32" w14:textId="77777777" w:rsidR="00CE04DC" w:rsidRPr="00321BE4" w:rsidRDefault="00CE04DC" w:rsidP="00CE04DC">
      <w:pPr>
        <w:jc w:val="both"/>
        <w:rPr>
          <w:b/>
          <w:bCs/>
          <w:sz w:val="20"/>
          <w:szCs w:val="20"/>
        </w:rPr>
      </w:pPr>
      <w:r w:rsidRPr="00321BE4">
        <w:rPr>
          <w:b/>
          <w:bCs/>
          <w:sz w:val="20"/>
          <w:szCs w:val="20"/>
        </w:rPr>
        <w:t>Stage 4: Structural Equation Modeling (SEM)</w:t>
      </w:r>
    </w:p>
    <w:p w14:paraId="6E7C1DBC" w14:textId="77777777" w:rsidR="00CE04DC" w:rsidRDefault="00CE04DC" w:rsidP="00FD2373">
      <w:pPr>
        <w:spacing w:line="324" w:lineRule="auto"/>
        <w:jc w:val="both"/>
        <w:rPr>
          <w:sz w:val="20"/>
          <w:szCs w:val="20"/>
        </w:rPr>
      </w:pPr>
      <w:r w:rsidRPr="00321BE4">
        <w:rPr>
          <w:sz w:val="20"/>
          <w:szCs w:val="20"/>
        </w:rPr>
        <w:t>SEM tests hypothesized relationships among latent constructs. Three pathways hypothesized</w:t>
      </w:r>
      <w:proofErr w:type="gramStart"/>
      <w:r w:rsidRPr="00321BE4">
        <w:rPr>
          <w:sz w:val="20"/>
          <w:szCs w:val="20"/>
        </w:rPr>
        <w:t>:  (</w:t>
      </w:r>
      <w:proofErr w:type="gramEnd"/>
      <w:r w:rsidRPr="00321BE4">
        <w:rPr>
          <w:sz w:val="20"/>
          <w:szCs w:val="20"/>
        </w:rPr>
        <w:t xml:space="preserve">1) Working Mother Stress → Depression; (2) Spousal Support → Depression; (3) Spousal Support → Stress (indirect pathway). </w:t>
      </w:r>
    </w:p>
    <w:p w14:paraId="432CC857" w14:textId="77777777" w:rsidR="00FD2373" w:rsidRPr="00321BE4" w:rsidRDefault="00FD2373" w:rsidP="00CE04DC">
      <w:pPr>
        <w:jc w:val="both"/>
        <w:rPr>
          <w:sz w:val="20"/>
          <w:szCs w:val="20"/>
        </w:rPr>
      </w:pPr>
    </w:p>
    <w:p w14:paraId="2A8DB2E1" w14:textId="77777777" w:rsidR="00CE04DC" w:rsidRDefault="00CE04DC" w:rsidP="00CE04DC">
      <w:pPr>
        <w:jc w:val="both"/>
        <w:rPr>
          <w:sz w:val="20"/>
          <w:szCs w:val="20"/>
        </w:rPr>
      </w:pPr>
      <w:r w:rsidRPr="00321BE4">
        <w:rPr>
          <w:sz w:val="20"/>
          <w:szCs w:val="20"/>
        </w:rPr>
        <w:t>Integrated model includes the following measurement and structural components.</w:t>
      </w:r>
    </w:p>
    <w:p w14:paraId="06958A68" w14:textId="77777777" w:rsidR="00FD2373" w:rsidRDefault="00FD2373" w:rsidP="00FD2373">
      <w:pPr>
        <w:rPr>
          <w:sz w:val="20"/>
          <w:szCs w:val="20"/>
        </w:rPr>
      </w:pPr>
    </w:p>
    <w:p w14:paraId="191425B3" w14:textId="2F4F0C3F" w:rsidR="00CE04DC" w:rsidRDefault="00CE04DC" w:rsidP="00FD2373">
      <w:pPr>
        <w:ind w:firstLine="720"/>
        <w:rPr>
          <w:sz w:val="20"/>
          <w:szCs w:val="20"/>
        </w:rPr>
      </w:pPr>
      <w:r w:rsidRPr="00321BE4">
        <w:rPr>
          <w:position w:val="-28"/>
          <w:sz w:val="20"/>
          <w:szCs w:val="20"/>
        </w:rPr>
        <w:object w:dxaOrig="3220" w:dyaOrig="680" w14:anchorId="294BA1F4">
          <v:shape id="_x0000_i1037" type="#_x0000_t75" style="width:160.75pt;height:34.1pt" o:ole="">
            <v:imagedata r:id="rId32" o:title=""/>
          </v:shape>
          <o:OLEObject Type="Embed" ProgID="Equation.DSMT4" ShapeID="_x0000_i1037" DrawAspect="Content" ObjectID="_1846227294" r:id="rId33"/>
        </w:object>
      </w:r>
      <w:r w:rsidRPr="00321BE4">
        <w:rPr>
          <w:sz w:val="20"/>
          <w:szCs w:val="20"/>
        </w:rPr>
        <w:t>.</w:t>
      </w:r>
    </w:p>
    <w:p w14:paraId="30396C3E" w14:textId="77777777" w:rsidR="00FD2373" w:rsidRPr="00321BE4" w:rsidRDefault="00FD2373" w:rsidP="00FD2373">
      <w:pPr>
        <w:ind w:firstLine="720"/>
        <w:rPr>
          <w:sz w:val="20"/>
          <w:szCs w:val="20"/>
        </w:rPr>
      </w:pPr>
    </w:p>
    <w:p w14:paraId="34F71434" w14:textId="77777777" w:rsidR="00CE04DC" w:rsidRDefault="00CE04DC" w:rsidP="00CE04DC">
      <w:pPr>
        <w:jc w:val="both"/>
        <w:rPr>
          <w:sz w:val="20"/>
          <w:szCs w:val="20"/>
        </w:rPr>
      </w:pPr>
      <w:r w:rsidRPr="00321BE4">
        <w:rPr>
          <w:sz w:val="20"/>
          <w:szCs w:val="20"/>
        </w:rPr>
        <w:t>The complete covariance can be written as</w:t>
      </w:r>
    </w:p>
    <w:p w14:paraId="01E5B607" w14:textId="77777777" w:rsidR="00FD2373" w:rsidRDefault="00FD2373" w:rsidP="00FD2373">
      <w:pPr>
        <w:rPr>
          <w:sz w:val="20"/>
          <w:szCs w:val="20"/>
        </w:rPr>
      </w:pPr>
    </w:p>
    <w:p w14:paraId="05CED002" w14:textId="01C51C92" w:rsidR="00CE04DC" w:rsidRDefault="00CE04DC" w:rsidP="00FD2373">
      <w:pPr>
        <w:ind w:firstLine="720"/>
        <w:rPr>
          <w:sz w:val="20"/>
          <w:szCs w:val="20"/>
        </w:rPr>
      </w:pPr>
      <w:r w:rsidRPr="00321BE4">
        <w:rPr>
          <w:position w:val="-16"/>
          <w:sz w:val="20"/>
          <w:szCs w:val="20"/>
        </w:rPr>
        <w:object w:dxaOrig="4700" w:dyaOrig="460" w14:anchorId="5590E7C7">
          <v:shape id="_x0000_i1038" type="#_x0000_t75" style="width:235.25pt;height:22.75pt" o:ole="">
            <v:imagedata r:id="rId34" o:title=""/>
          </v:shape>
          <o:OLEObject Type="Embed" ProgID="Equation.DSMT4" ShapeID="_x0000_i1038" DrawAspect="Content" ObjectID="_1846227295" r:id="rId35"/>
        </w:object>
      </w:r>
      <w:r w:rsidRPr="00321BE4">
        <w:rPr>
          <w:sz w:val="20"/>
          <w:szCs w:val="20"/>
        </w:rPr>
        <w:t>.</w:t>
      </w:r>
    </w:p>
    <w:p w14:paraId="5A5456D2" w14:textId="77777777" w:rsidR="00FD2373" w:rsidRPr="00321BE4" w:rsidRDefault="00FD2373" w:rsidP="00FD2373">
      <w:pPr>
        <w:ind w:firstLine="720"/>
        <w:rPr>
          <w:sz w:val="20"/>
          <w:szCs w:val="20"/>
        </w:rPr>
      </w:pPr>
    </w:p>
    <w:p w14:paraId="6A0E8A48" w14:textId="77777777" w:rsidR="00CE04DC" w:rsidRDefault="00CE04DC" w:rsidP="00CE04DC">
      <w:pPr>
        <w:jc w:val="both"/>
        <w:rPr>
          <w:sz w:val="20"/>
          <w:szCs w:val="20"/>
        </w:rPr>
      </w:pPr>
      <w:r w:rsidRPr="00321BE4">
        <w:rPr>
          <w:sz w:val="20"/>
          <w:szCs w:val="20"/>
        </w:rPr>
        <w:t xml:space="preserve">Path significance </w:t>
      </w:r>
      <w:proofErr w:type="gramStart"/>
      <w:r w:rsidRPr="00321BE4">
        <w:rPr>
          <w:sz w:val="20"/>
          <w:szCs w:val="20"/>
        </w:rPr>
        <w:t>were</w:t>
      </w:r>
      <w:proofErr w:type="gramEnd"/>
      <w:r w:rsidRPr="00321BE4">
        <w:rPr>
          <w:sz w:val="20"/>
          <w:szCs w:val="20"/>
        </w:rPr>
        <w:t xml:space="preserve"> tested via critical ratios:</w:t>
      </w:r>
    </w:p>
    <w:p w14:paraId="6771DAA4" w14:textId="77777777" w:rsidR="00FD2373" w:rsidRPr="00321BE4" w:rsidRDefault="00FD2373" w:rsidP="00CE04DC">
      <w:pPr>
        <w:jc w:val="both"/>
        <w:rPr>
          <w:sz w:val="20"/>
          <w:szCs w:val="20"/>
        </w:rPr>
      </w:pPr>
    </w:p>
    <w:p w14:paraId="4ADBD6C7" w14:textId="77777777" w:rsidR="00CE04DC" w:rsidRDefault="00CE04DC" w:rsidP="00FD2373">
      <w:pPr>
        <w:ind w:firstLine="720"/>
        <w:rPr>
          <w:sz w:val="20"/>
          <w:szCs w:val="20"/>
        </w:rPr>
      </w:pPr>
      <w:r w:rsidRPr="00321BE4">
        <w:rPr>
          <w:bCs/>
          <w:sz w:val="20"/>
          <w:szCs w:val="20"/>
        </w:rPr>
        <w:t xml:space="preserve">CR </w:t>
      </w:r>
      <w:r w:rsidRPr="00321BE4">
        <w:rPr>
          <w:b/>
          <w:sz w:val="20"/>
          <w:szCs w:val="20"/>
        </w:rPr>
        <w:t xml:space="preserve">= </w:t>
      </w:r>
      <w:r w:rsidRPr="00321BE4">
        <w:rPr>
          <w:b/>
          <w:position w:val="-14"/>
          <w:sz w:val="20"/>
          <w:szCs w:val="20"/>
        </w:rPr>
        <w:object w:dxaOrig="1160" w:dyaOrig="400" w14:anchorId="3318AAD7">
          <v:shape id="_x0000_i1039" type="#_x0000_t75" style="width:58.1pt;height:19.9pt" o:ole="">
            <v:imagedata r:id="rId36" o:title=""/>
          </v:shape>
          <o:OLEObject Type="Embed" ProgID="Equation.DSMT4" ShapeID="_x0000_i1039" DrawAspect="Content" ObjectID="_1846227296" r:id="rId37"/>
        </w:object>
      </w:r>
      <w:r w:rsidRPr="00321BE4">
        <w:rPr>
          <w:sz w:val="20"/>
          <w:szCs w:val="20"/>
        </w:rPr>
        <w:t xml:space="preserve">|CR| &gt; 1.96 indicates </w:t>
      </w:r>
      <w:r w:rsidRPr="00321BE4">
        <w:rPr>
          <w:position w:val="-10"/>
          <w:sz w:val="20"/>
          <w:szCs w:val="20"/>
        </w:rPr>
        <w:object w:dxaOrig="880" w:dyaOrig="320" w14:anchorId="545EC303">
          <v:shape id="_x0000_i1040" type="#_x0000_t75" style="width:43.9pt;height:16.1pt" o:ole="">
            <v:imagedata r:id="rId38" o:title=""/>
          </v:shape>
          <o:OLEObject Type="Embed" ProgID="Equation.DSMT4" ShapeID="_x0000_i1040" DrawAspect="Content" ObjectID="_1846227297" r:id="rId39"/>
        </w:object>
      </w:r>
    </w:p>
    <w:p w14:paraId="0FD628C2" w14:textId="77777777" w:rsidR="00FD2373" w:rsidRPr="00321BE4" w:rsidRDefault="00FD2373" w:rsidP="00FD2373">
      <w:pPr>
        <w:ind w:firstLine="720"/>
        <w:rPr>
          <w:sz w:val="20"/>
          <w:szCs w:val="20"/>
        </w:rPr>
      </w:pPr>
    </w:p>
    <w:p w14:paraId="0FD914D9" w14:textId="77777777" w:rsidR="00FD2373" w:rsidRDefault="00CE04DC" w:rsidP="00CE04DC">
      <w:pPr>
        <w:jc w:val="both"/>
        <w:rPr>
          <w:sz w:val="20"/>
          <w:szCs w:val="20"/>
        </w:rPr>
      </w:pPr>
      <w:r w:rsidRPr="00321BE4">
        <w:rPr>
          <w:sz w:val="20"/>
          <w:szCs w:val="20"/>
        </w:rPr>
        <w:t xml:space="preserve">Confounders included as exogenous variables. Model fit evaluated using same indices as CFA.  </w:t>
      </w:r>
    </w:p>
    <w:p w14:paraId="55970B81" w14:textId="77777777" w:rsidR="00FD2373" w:rsidRDefault="00FD2373" w:rsidP="00CE04DC">
      <w:pPr>
        <w:jc w:val="both"/>
        <w:rPr>
          <w:sz w:val="20"/>
          <w:szCs w:val="20"/>
        </w:rPr>
      </w:pPr>
    </w:p>
    <w:p w14:paraId="6ECB7C56" w14:textId="160193FD" w:rsidR="00CE04DC" w:rsidRDefault="00CE04DC" w:rsidP="00FD2373">
      <w:pPr>
        <w:spacing w:line="324" w:lineRule="auto"/>
        <w:jc w:val="both"/>
        <w:rPr>
          <w:sz w:val="20"/>
          <w:szCs w:val="20"/>
        </w:rPr>
      </w:pPr>
      <w:r w:rsidRPr="00321BE4">
        <w:rPr>
          <w:b/>
          <w:bCs/>
          <w:sz w:val="20"/>
          <w:szCs w:val="20"/>
        </w:rPr>
        <w:t>Figure 1</w:t>
      </w:r>
      <w:r w:rsidRPr="00321BE4">
        <w:rPr>
          <w:sz w:val="20"/>
          <w:szCs w:val="20"/>
        </w:rPr>
        <w:t xml:space="preserve"> illustrates the hypothesized structural model and the estimated directional pathways among the study variables. The SEM analysis was performed using SPSS AMOS 23 to take advantage of its specialized capabilities in modeling complex structural relationships </w:t>
      </w:r>
      <w:r w:rsidRPr="00321BE4">
        <w:rPr>
          <w:sz w:val="20"/>
          <w:szCs w:val="20"/>
        </w:rPr>
        <w:fldChar w:fldCharType="begin"/>
      </w:r>
      <w:r w:rsidRPr="00321BE4">
        <w:rPr>
          <w:sz w:val="20"/>
          <w:szCs w:val="20"/>
        </w:rPr>
        <w:instrText xml:space="preserve"> ADDIN ZOTERO_ITEM CSL_CITATION {"citationID":"Z6vvje4g","properties":{"formattedCitation":"(Do-Thi &amp; Do, 2022)","plainCitation":"(Do-Thi &amp; Do, 2022)","noteIndex":0},"citationItems":[{"id":88,"uris":["http://zotero.org/users/local/66j4yoWm/items/QGHBC7VN"],"itemData":{"id":88,"type":"chapter","abstract":"AMOS stands for Analysis of Moment Structures (otherwise called SPSS AMOS) is an instrument for building Structural Equation Modeling (SEM) to break down models with more exactness than standard multivariate measurable methods. This isn't possible if by some stroke of good luck involving SPSS programming on the off chance that the model has numerous reliant and halfway factors, for this situation, AMOS is the most ideal decision. AMOS upholds analysts by broadening standard multivariate examination techniques, including relapse strategy, factor investigation strategy, relationship strategy, and investigation of different techniques. It likewise assists clients with building vertical models, building social models that reflect complex connections more precisely than self-measurements without programming support.","container-title":"Intelligent Systems Modeling and Simulation II: Machine Learning, Neural Networks, Efficient Numerical Algorithm and Statistical Methods","event-place":"Cham","ISBN":"978-3-031-04028-3","language":"en","note":"DOI: 10.1007/978-3-031-04028-3_40","page":"645-660","publisher":"Springer International Publishing","publisher-place":"Cham","source":"Springer Link","title":"Quantitative Methodology: Applied Modeling by Using AMOS (Step-By-Step)","title-short":"Quantitative Methodology","URL":"https://doi.org/10.1007/978-3-031-04028-3_40","author":[{"family":"Do-Thi","given":"Phuong"},{"family":"Do","given":"Ivy"}],"editor":[{"family":"Abdul Karim","given":"Samsul Ariffin"}],"accessed":{"date-parts":[["2024",5,18]]},"issued":{"date-parts":[["2022"]]}}}],"schema":"https://github.com/citation-style-language/schema/raw/master/csl-citation.json"} </w:instrText>
      </w:r>
      <w:r w:rsidRPr="00321BE4">
        <w:rPr>
          <w:sz w:val="20"/>
          <w:szCs w:val="20"/>
        </w:rPr>
        <w:fldChar w:fldCharType="separate"/>
      </w:r>
      <w:r w:rsidRPr="00321BE4">
        <w:rPr>
          <w:sz w:val="20"/>
          <w:szCs w:val="20"/>
        </w:rPr>
        <w:t>(Do-Thi &amp; Do, 2022)</w:t>
      </w:r>
      <w:r w:rsidRPr="00321BE4">
        <w:rPr>
          <w:sz w:val="20"/>
          <w:szCs w:val="20"/>
        </w:rPr>
        <w:fldChar w:fldCharType="end"/>
      </w:r>
      <w:bookmarkStart w:id="6" w:name="_Toc166993743"/>
      <w:r w:rsidRPr="00321BE4">
        <w:rPr>
          <w:sz w:val="20"/>
          <w:szCs w:val="20"/>
        </w:rPr>
        <w:t>.</w:t>
      </w:r>
    </w:p>
    <w:p w14:paraId="3C7427AE" w14:textId="77777777" w:rsidR="000A520E" w:rsidRPr="00321BE4" w:rsidRDefault="000A520E" w:rsidP="00FD2373">
      <w:pPr>
        <w:spacing w:line="324" w:lineRule="auto"/>
        <w:jc w:val="both"/>
        <w:rPr>
          <w:sz w:val="20"/>
          <w:szCs w:val="20"/>
        </w:rPr>
      </w:pPr>
    </w:p>
    <w:p w14:paraId="0F6DEC9A" w14:textId="77777777" w:rsidR="00CE04DC" w:rsidRPr="00321BE4" w:rsidRDefault="00CE04DC" w:rsidP="00CE04DC">
      <w:pPr>
        <w:jc w:val="center"/>
        <w:rPr>
          <w:sz w:val="20"/>
          <w:szCs w:val="20"/>
        </w:rPr>
      </w:pPr>
      <w:r w:rsidRPr="00321BE4">
        <w:rPr>
          <w:noProof/>
          <w:sz w:val="20"/>
          <w:szCs w:val="20"/>
        </w:rPr>
        <w:drawing>
          <wp:inline distT="0" distB="0" distL="0" distR="0" wp14:anchorId="7734BDA8" wp14:editId="27561A11">
            <wp:extent cx="3036570" cy="2400205"/>
            <wp:effectExtent l="0" t="0" r="0" b="0"/>
            <wp:docPr id="224186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86234" name=""/>
                    <pic:cNvPicPr/>
                  </pic:nvPicPr>
                  <pic:blipFill>
                    <a:blip r:embed="rId40"/>
                    <a:stretch>
                      <a:fillRect/>
                    </a:stretch>
                  </pic:blipFill>
                  <pic:spPr>
                    <a:xfrm>
                      <a:off x="0" y="0"/>
                      <a:ext cx="3058303" cy="2417384"/>
                    </a:xfrm>
                    <a:prstGeom prst="rect">
                      <a:avLst/>
                    </a:prstGeom>
                  </pic:spPr>
                </pic:pic>
              </a:graphicData>
            </a:graphic>
          </wp:inline>
        </w:drawing>
      </w:r>
    </w:p>
    <w:p w14:paraId="071A7F14" w14:textId="77777777" w:rsidR="00CE04DC" w:rsidRPr="00321BE4" w:rsidRDefault="00CE04DC" w:rsidP="00CE04DC">
      <w:pPr>
        <w:rPr>
          <w:sz w:val="20"/>
          <w:szCs w:val="20"/>
        </w:rPr>
      </w:pPr>
    </w:p>
    <w:p w14:paraId="1E89DF69" w14:textId="0180DFB0" w:rsidR="00CE04DC" w:rsidRPr="00321BE4" w:rsidRDefault="00CE04DC" w:rsidP="00FD2373">
      <w:pPr>
        <w:jc w:val="center"/>
        <w:rPr>
          <w:sz w:val="20"/>
          <w:szCs w:val="20"/>
        </w:rPr>
      </w:pPr>
      <w:r w:rsidRPr="00321BE4">
        <w:rPr>
          <w:b/>
          <w:bCs/>
          <w:sz w:val="20"/>
          <w:szCs w:val="20"/>
        </w:rPr>
        <w:t>Figure 1</w:t>
      </w:r>
      <w:r w:rsidR="00FD2373">
        <w:rPr>
          <w:b/>
          <w:bCs/>
          <w:sz w:val="20"/>
          <w:szCs w:val="20"/>
        </w:rPr>
        <w:t>.</w:t>
      </w:r>
      <w:r w:rsidRPr="00321BE4">
        <w:rPr>
          <w:sz w:val="20"/>
          <w:szCs w:val="20"/>
        </w:rPr>
        <w:t xml:space="preserve"> </w:t>
      </w:r>
      <w:r w:rsidRPr="00321BE4">
        <w:rPr>
          <w:rStyle w:val="cf01"/>
          <w:rFonts w:ascii="Times New Roman" w:hAnsi="Times New Roman" w:cs="Times New Roman"/>
          <w:sz w:val="20"/>
          <w:szCs w:val="20"/>
        </w:rPr>
        <w:t xml:space="preserve">Diagrammatic </w:t>
      </w:r>
      <w:r w:rsidR="00FD2373">
        <w:rPr>
          <w:rStyle w:val="cf01"/>
          <w:rFonts w:ascii="Times New Roman" w:hAnsi="Times New Roman" w:cs="Times New Roman"/>
          <w:sz w:val="20"/>
          <w:szCs w:val="20"/>
        </w:rPr>
        <w:t>S</w:t>
      </w:r>
      <w:r w:rsidRPr="00321BE4">
        <w:rPr>
          <w:rStyle w:val="cf01"/>
          <w:rFonts w:ascii="Times New Roman" w:hAnsi="Times New Roman" w:cs="Times New Roman"/>
          <w:sz w:val="20"/>
          <w:szCs w:val="20"/>
        </w:rPr>
        <w:t>tructure for CFA and SEM</w:t>
      </w:r>
      <w:bookmarkEnd w:id="6"/>
    </w:p>
    <w:p w14:paraId="2A4C7B04" w14:textId="77777777" w:rsidR="00CE04DC" w:rsidRDefault="00CE04DC" w:rsidP="00CE04DC">
      <w:pPr>
        <w:rPr>
          <w:b/>
          <w:bCs/>
          <w:sz w:val="20"/>
          <w:szCs w:val="20"/>
        </w:rPr>
      </w:pPr>
      <w:bookmarkStart w:id="7" w:name="_Toc166993745"/>
    </w:p>
    <w:p w14:paraId="5AE94277" w14:textId="77777777" w:rsidR="00CE04DC" w:rsidRDefault="00CE04DC" w:rsidP="00CE04DC">
      <w:pPr>
        <w:pStyle w:val="ListParagraph"/>
        <w:numPr>
          <w:ilvl w:val="0"/>
          <w:numId w:val="25"/>
        </w:numPr>
        <w:spacing w:after="0" w:line="240" w:lineRule="auto"/>
        <w:ind w:left="360"/>
        <w:rPr>
          <w:rFonts w:ascii="Times New Roman" w:hAnsi="Times New Roman" w:cs="Times New Roman"/>
          <w:b/>
          <w:bCs/>
          <w:sz w:val="20"/>
          <w:szCs w:val="20"/>
        </w:rPr>
      </w:pPr>
      <w:r w:rsidRPr="00321BE4">
        <w:rPr>
          <w:rFonts w:ascii="Times New Roman" w:hAnsi="Times New Roman" w:cs="Times New Roman"/>
          <w:b/>
          <w:bCs/>
          <w:sz w:val="20"/>
          <w:szCs w:val="20"/>
        </w:rPr>
        <w:t>Results</w:t>
      </w:r>
      <w:bookmarkStart w:id="8" w:name="_Toc166993746"/>
      <w:bookmarkEnd w:id="7"/>
    </w:p>
    <w:p w14:paraId="79D5C7F6" w14:textId="77777777" w:rsidR="00FD2373" w:rsidRPr="00321BE4" w:rsidRDefault="00FD2373" w:rsidP="00FD2373">
      <w:pPr>
        <w:pStyle w:val="ListParagraph"/>
        <w:spacing w:after="0" w:line="240" w:lineRule="auto"/>
        <w:ind w:left="360"/>
        <w:rPr>
          <w:rFonts w:ascii="Times New Roman" w:hAnsi="Times New Roman" w:cs="Times New Roman"/>
          <w:b/>
          <w:bCs/>
          <w:sz w:val="20"/>
          <w:szCs w:val="20"/>
        </w:rPr>
      </w:pPr>
    </w:p>
    <w:p w14:paraId="41A7C76A" w14:textId="77777777" w:rsidR="00CE04DC" w:rsidRDefault="00CE04DC" w:rsidP="00CE04DC">
      <w:pPr>
        <w:rPr>
          <w:b/>
          <w:bCs/>
          <w:i/>
          <w:iCs/>
          <w:sz w:val="20"/>
          <w:szCs w:val="20"/>
        </w:rPr>
      </w:pPr>
      <w:r w:rsidRPr="00321BE4">
        <w:rPr>
          <w:b/>
          <w:bCs/>
          <w:i/>
          <w:iCs/>
          <w:sz w:val="20"/>
          <w:szCs w:val="20"/>
        </w:rPr>
        <w:t>Demographic Information</w:t>
      </w:r>
      <w:bookmarkEnd w:id="8"/>
    </w:p>
    <w:p w14:paraId="5B065A1A" w14:textId="77777777" w:rsidR="00FD2373" w:rsidRPr="00321BE4" w:rsidRDefault="00FD2373" w:rsidP="00CE04DC">
      <w:pPr>
        <w:rPr>
          <w:b/>
          <w:bCs/>
          <w:i/>
          <w:iCs/>
          <w:sz w:val="20"/>
          <w:szCs w:val="20"/>
        </w:rPr>
      </w:pPr>
    </w:p>
    <w:p w14:paraId="5C9A14D5" w14:textId="77777777" w:rsidR="00CE04DC" w:rsidRPr="00321BE4" w:rsidRDefault="00CE04DC" w:rsidP="00FD2373">
      <w:pPr>
        <w:spacing w:line="324" w:lineRule="auto"/>
        <w:jc w:val="both"/>
        <w:rPr>
          <w:sz w:val="20"/>
          <w:szCs w:val="20"/>
        </w:rPr>
      </w:pPr>
      <w:r w:rsidRPr="00321BE4">
        <w:rPr>
          <w:sz w:val="20"/>
          <w:szCs w:val="20"/>
        </w:rPr>
        <w:t>The study findings reveal that the mean age of 275 working mothers was approximately 30.87 years, with a standard deviation of 3.75, indicating a predominantly young cohort. Employment data revealed diverse occupational engagements: 75.64% were employed full-time, 19.64% part-time, 4.73% were self-employed. Educational attainment among the women was notably high, with a significant majority (76.36%) holding postgraduate degrees, while 19.27% had completed graduation, and only a small portion (4.36%) had finished higher secondary education.</w:t>
      </w:r>
    </w:p>
    <w:p w14:paraId="1E1E1BBA" w14:textId="77777777" w:rsidR="00CE04DC" w:rsidRPr="00321BE4" w:rsidRDefault="00CE04DC" w:rsidP="00CE04DC">
      <w:pPr>
        <w:jc w:val="both"/>
        <w:rPr>
          <w:sz w:val="20"/>
          <w:szCs w:val="20"/>
        </w:rPr>
      </w:pPr>
    </w:p>
    <w:p w14:paraId="041A7B13" w14:textId="77777777" w:rsidR="00CE04DC" w:rsidRPr="00321BE4" w:rsidRDefault="00CE04DC" w:rsidP="00FD2373">
      <w:pPr>
        <w:spacing w:line="324" w:lineRule="auto"/>
        <w:jc w:val="both"/>
        <w:rPr>
          <w:sz w:val="20"/>
          <w:szCs w:val="20"/>
        </w:rPr>
      </w:pPr>
      <w:r w:rsidRPr="00321BE4">
        <w:rPr>
          <w:sz w:val="20"/>
          <w:szCs w:val="20"/>
        </w:rPr>
        <w:t>Family structure analysis showed that 70.18% of participants belonged to nuclear families, whereas 29.82% resided in extended family setups, suggesting a predominant preference for nuclear living arrangements in this population. Income levels varied, with 53.09% earning more than BDT 50,000, and 38.55% earning between BDT 20,000 and BDT 50,000, which correlates positively with the high levels of educational attainment observed. Only a minor segment (8.36%) fell into the lower income brackets (less than BDT 20,000), underscoring the economic stability of this educated cohort (</w:t>
      </w:r>
      <w:r w:rsidRPr="00321BE4">
        <w:rPr>
          <w:b/>
          <w:bCs/>
          <w:sz w:val="20"/>
          <w:szCs w:val="20"/>
        </w:rPr>
        <w:t>Table 1</w:t>
      </w:r>
      <w:r w:rsidRPr="00321BE4">
        <w:rPr>
          <w:sz w:val="20"/>
          <w:szCs w:val="20"/>
        </w:rPr>
        <w:t>).</w:t>
      </w:r>
    </w:p>
    <w:p w14:paraId="06F04CD7" w14:textId="77777777" w:rsidR="00CE04DC" w:rsidRPr="00321BE4" w:rsidRDefault="00CE04DC" w:rsidP="00CE04DC">
      <w:pPr>
        <w:jc w:val="both"/>
        <w:rPr>
          <w:sz w:val="20"/>
          <w:szCs w:val="20"/>
        </w:rPr>
      </w:pPr>
    </w:p>
    <w:p w14:paraId="4BC08BC7" w14:textId="16E41113" w:rsidR="00CE04DC" w:rsidRDefault="00CE04DC" w:rsidP="00CE04DC">
      <w:pPr>
        <w:pStyle w:val="Caption"/>
        <w:keepNext/>
        <w:spacing w:line="240" w:lineRule="auto"/>
        <w:rPr>
          <w:color w:val="000000" w:themeColor="text1"/>
          <w:sz w:val="20"/>
          <w:szCs w:val="20"/>
        </w:rPr>
      </w:pPr>
      <w:bookmarkStart w:id="9" w:name="_Toc166993532"/>
      <w:r w:rsidRPr="00321BE4">
        <w:rPr>
          <w:color w:val="000000" w:themeColor="text1"/>
          <w:sz w:val="20"/>
          <w:szCs w:val="20"/>
        </w:rPr>
        <w:t xml:space="preserve">Table </w:t>
      </w:r>
      <w:r w:rsidRPr="00321BE4">
        <w:rPr>
          <w:b w:val="0"/>
          <w:bCs w:val="0"/>
          <w:i/>
          <w:iCs/>
          <w:color w:val="000000" w:themeColor="text1"/>
          <w:sz w:val="20"/>
          <w:szCs w:val="20"/>
        </w:rPr>
        <w:fldChar w:fldCharType="begin"/>
      </w:r>
      <w:r w:rsidRPr="00321BE4">
        <w:rPr>
          <w:color w:val="000000" w:themeColor="text1"/>
          <w:sz w:val="20"/>
          <w:szCs w:val="20"/>
        </w:rPr>
        <w:instrText xml:space="preserve"> SEQ Table \* ARABIC </w:instrText>
      </w:r>
      <w:r w:rsidRPr="00321BE4">
        <w:rPr>
          <w:b w:val="0"/>
          <w:bCs w:val="0"/>
          <w:i/>
          <w:iCs/>
          <w:color w:val="000000" w:themeColor="text1"/>
          <w:sz w:val="20"/>
          <w:szCs w:val="20"/>
        </w:rPr>
        <w:fldChar w:fldCharType="separate"/>
      </w:r>
      <w:r w:rsidRPr="00321BE4">
        <w:rPr>
          <w:noProof/>
          <w:color w:val="000000" w:themeColor="text1"/>
          <w:sz w:val="20"/>
          <w:szCs w:val="20"/>
        </w:rPr>
        <w:t>1</w:t>
      </w:r>
      <w:r w:rsidRPr="00321BE4">
        <w:rPr>
          <w:b w:val="0"/>
          <w:bCs w:val="0"/>
          <w:i/>
          <w:iCs/>
          <w:color w:val="000000" w:themeColor="text1"/>
          <w:sz w:val="20"/>
          <w:szCs w:val="20"/>
        </w:rPr>
        <w:fldChar w:fldCharType="end"/>
      </w:r>
      <w:r w:rsidR="00FD2373">
        <w:rPr>
          <w:color w:val="000000" w:themeColor="text1"/>
          <w:sz w:val="20"/>
          <w:szCs w:val="20"/>
        </w:rPr>
        <w:t>.</w:t>
      </w:r>
      <w:r w:rsidRPr="00321BE4">
        <w:rPr>
          <w:color w:val="000000" w:themeColor="text1"/>
          <w:sz w:val="20"/>
          <w:szCs w:val="20"/>
        </w:rPr>
        <w:t xml:space="preserve"> </w:t>
      </w:r>
      <w:r w:rsidRPr="00FD2373">
        <w:rPr>
          <w:b w:val="0"/>
          <w:bCs w:val="0"/>
          <w:color w:val="000000" w:themeColor="text1"/>
          <w:sz w:val="20"/>
          <w:szCs w:val="20"/>
        </w:rPr>
        <w:t xml:space="preserve">Demographic </w:t>
      </w:r>
      <w:r w:rsidR="00FD2373">
        <w:rPr>
          <w:b w:val="0"/>
          <w:bCs w:val="0"/>
          <w:color w:val="000000" w:themeColor="text1"/>
          <w:sz w:val="20"/>
          <w:szCs w:val="20"/>
        </w:rPr>
        <w:t>C</w:t>
      </w:r>
      <w:r w:rsidRPr="00FD2373">
        <w:rPr>
          <w:b w:val="0"/>
          <w:bCs w:val="0"/>
          <w:color w:val="000000" w:themeColor="text1"/>
          <w:sz w:val="20"/>
          <w:szCs w:val="20"/>
        </w:rPr>
        <w:t xml:space="preserve">haracteristics of the </w:t>
      </w:r>
      <w:r w:rsidR="00FD2373">
        <w:rPr>
          <w:b w:val="0"/>
          <w:bCs w:val="0"/>
          <w:color w:val="000000" w:themeColor="text1"/>
          <w:sz w:val="20"/>
          <w:szCs w:val="20"/>
        </w:rPr>
        <w:t>R</w:t>
      </w:r>
      <w:r w:rsidRPr="00FD2373">
        <w:rPr>
          <w:b w:val="0"/>
          <w:bCs w:val="0"/>
          <w:color w:val="000000" w:themeColor="text1"/>
          <w:sz w:val="20"/>
          <w:szCs w:val="20"/>
        </w:rPr>
        <w:t>espondents</w:t>
      </w:r>
      <w:bookmarkEnd w:id="9"/>
      <w:r w:rsidRPr="00FD2373">
        <w:rPr>
          <w:b w:val="0"/>
          <w:bCs w:val="0"/>
          <w:color w:val="000000" w:themeColor="text1"/>
          <w:sz w:val="20"/>
          <w:szCs w:val="20"/>
        </w:rPr>
        <w:t>.</w:t>
      </w:r>
    </w:p>
    <w:p w14:paraId="784A0ED2" w14:textId="77777777" w:rsidR="00FD2373" w:rsidRPr="00FD2373" w:rsidRDefault="00FD2373" w:rsidP="00FD2373"/>
    <w:tbl>
      <w:tblPr>
        <w:tblStyle w:val="TableGrid"/>
        <w:tblW w:w="4619" w:type="pct"/>
        <w:tblInd w:w="25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67"/>
        <w:gridCol w:w="1986"/>
        <w:gridCol w:w="1417"/>
        <w:gridCol w:w="1673"/>
      </w:tblGrid>
      <w:tr w:rsidR="00CE04DC" w:rsidRPr="00321BE4" w14:paraId="34CF88B5" w14:textId="77777777" w:rsidTr="00FD2373">
        <w:trPr>
          <w:trHeight w:val="19"/>
        </w:trPr>
        <w:tc>
          <w:tcPr>
            <w:tcW w:w="1544" w:type="pct"/>
            <w:hideMark/>
          </w:tcPr>
          <w:p w14:paraId="34BF298F" w14:textId="77777777" w:rsidR="00CE04DC" w:rsidRPr="00321BE4" w:rsidRDefault="00CE04DC" w:rsidP="002F09F0">
            <w:pPr>
              <w:jc w:val="both"/>
              <w:rPr>
                <w:rFonts w:ascii="Times New Roman" w:hAnsi="Times New Roman" w:cs="Times New Roman"/>
                <w:b/>
                <w:bCs/>
                <w:sz w:val="20"/>
                <w:szCs w:val="20"/>
              </w:rPr>
            </w:pPr>
            <w:r w:rsidRPr="00321BE4">
              <w:rPr>
                <w:rFonts w:ascii="Times New Roman" w:hAnsi="Times New Roman" w:cs="Times New Roman"/>
                <w:b/>
                <w:bCs/>
                <w:sz w:val="20"/>
                <w:szCs w:val="20"/>
              </w:rPr>
              <w:t>Variable</w:t>
            </w:r>
          </w:p>
        </w:tc>
        <w:tc>
          <w:tcPr>
            <w:tcW w:w="1352" w:type="pct"/>
            <w:vAlign w:val="center"/>
          </w:tcPr>
          <w:p w14:paraId="24AA2BBE"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Mean</w:t>
            </w:r>
          </w:p>
        </w:tc>
        <w:tc>
          <w:tcPr>
            <w:tcW w:w="965" w:type="pct"/>
            <w:vAlign w:val="center"/>
          </w:tcPr>
          <w:p w14:paraId="2F5CD4DE"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SD</w:t>
            </w:r>
          </w:p>
        </w:tc>
        <w:tc>
          <w:tcPr>
            <w:tcW w:w="1139" w:type="pct"/>
          </w:tcPr>
          <w:p w14:paraId="175F0F02" w14:textId="77777777" w:rsidR="00CE04DC" w:rsidRPr="00321BE4" w:rsidRDefault="00CE04DC" w:rsidP="002F09F0">
            <w:pPr>
              <w:jc w:val="both"/>
              <w:rPr>
                <w:rFonts w:ascii="Times New Roman" w:hAnsi="Times New Roman" w:cs="Times New Roman"/>
                <w:b/>
                <w:bCs/>
                <w:sz w:val="20"/>
                <w:szCs w:val="20"/>
              </w:rPr>
            </w:pPr>
          </w:p>
        </w:tc>
      </w:tr>
      <w:tr w:rsidR="00CE04DC" w:rsidRPr="00321BE4" w14:paraId="4600CE4B" w14:textId="77777777" w:rsidTr="00FD2373">
        <w:trPr>
          <w:trHeight w:val="19"/>
        </w:trPr>
        <w:tc>
          <w:tcPr>
            <w:tcW w:w="1544" w:type="pct"/>
          </w:tcPr>
          <w:p w14:paraId="18BC5E73"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 xml:space="preserve">Age </w:t>
            </w:r>
          </w:p>
        </w:tc>
        <w:tc>
          <w:tcPr>
            <w:tcW w:w="1352" w:type="pct"/>
            <w:vAlign w:val="center"/>
          </w:tcPr>
          <w:p w14:paraId="0D801B53"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30.873</w:t>
            </w:r>
          </w:p>
        </w:tc>
        <w:tc>
          <w:tcPr>
            <w:tcW w:w="965" w:type="pct"/>
            <w:vAlign w:val="center"/>
          </w:tcPr>
          <w:p w14:paraId="06A505D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3.751</w:t>
            </w:r>
          </w:p>
        </w:tc>
        <w:tc>
          <w:tcPr>
            <w:tcW w:w="1139" w:type="pct"/>
          </w:tcPr>
          <w:p w14:paraId="03DCBB0F" w14:textId="77777777" w:rsidR="00CE04DC" w:rsidRPr="00321BE4" w:rsidRDefault="00CE04DC" w:rsidP="002F09F0">
            <w:pPr>
              <w:jc w:val="both"/>
              <w:rPr>
                <w:rFonts w:ascii="Times New Roman" w:hAnsi="Times New Roman" w:cs="Times New Roman"/>
                <w:b/>
                <w:bCs/>
                <w:sz w:val="20"/>
                <w:szCs w:val="20"/>
              </w:rPr>
            </w:pPr>
          </w:p>
        </w:tc>
      </w:tr>
      <w:tr w:rsidR="00CE04DC" w:rsidRPr="00321BE4" w14:paraId="7584AFED" w14:textId="77777777" w:rsidTr="00FD2373">
        <w:trPr>
          <w:trHeight w:val="19"/>
        </w:trPr>
        <w:tc>
          <w:tcPr>
            <w:tcW w:w="1544" w:type="pct"/>
            <w:vAlign w:val="center"/>
          </w:tcPr>
          <w:p w14:paraId="27F6F4A8"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Variable</w:t>
            </w:r>
          </w:p>
        </w:tc>
        <w:tc>
          <w:tcPr>
            <w:tcW w:w="1352" w:type="pct"/>
            <w:vAlign w:val="center"/>
          </w:tcPr>
          <w:p w14:paraId="4814899A" w14:textId="77777777" w:rsidR="00CE04DC" w:rsidRPr="00321BE4" w:rsidRDefault="00CE04DC" w:rsidP="002F09F0">
            <w:pPr>
              <w:rPr>
                <w:rFonts w:ascii="Times New Roman" w:hAnsi="Times New Roman" w:cs="Times New Roman"/>
                <w:b/>
                <w:bCs/>
                <w:sz w:val="20"/>
                <w:szCs w:val="20"/>
              </w:rPr>
            </w:pPr>
            <w:r w:rsidRPr="00321BE4">
              <w:rPr>
                <w:rFonts w:ascii="Times New Roman" w:hAnsi="Times New Roman" w:cs="Times New Roman"/>
                <w:b/>
                <w:bCs/>
                <w:sz w:val="20"/>
                <w:szCs w:val="20"/>
              </w:rPr>
              <w:t>Category Description</w:t>
            </w:r>
          </w:p>
        </w:tc>
        <w:tc>
          <w:tcPr>
            <w:tcW w:w="965" w:type="pct"/>
            <w:vAlign w:val="center"/>
          </w:tcPr>
          <w:p w14:paraId="56EFB81A"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Frequency</w:t>
            </w:r>
          </w:p>
        </w:tc>
        <w:tc>
          <w:tcPr>
            <w:tcW w:w="1139" w:type="pct"/>
            <w:vAlign w:val="center"/>
          </w:tcPr>
          <w:p w14:paraId="4576B182"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Percent (%)</w:t>
            </w:r>
          </w:p>
        </w:tc>
      </w:tr>
      <w:tr w:rsidR="00CE04DC" w:rsidRPr="00321BE4" w14:paraId="4C346E67" w14:textId="77777777" w:rsidTr="00FD2373">
        <w:trPr>
          <w:trHeight w:val="19"/>
        </w:trPr>
        <w:tc>
          <w:tcPr>
            <w:tcW w:w="1544" w:type="pct"/>
            <w:vMerge w:val="restart"/>
            <w:vAlign w:val="center"/>
            <w:hideMark/>
          </w:tcPr>
          <w:p w14:paraId="7E5DFFEB"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Types of Work</w:t>
            </w:r>
          </w:p>
        </w:tc>
        <w:tc>
          <w:tcPr>
            <w:tcW w:w="1352" w:type="pct"/>
            <w:vAlign w:val="center"/>
            <w:hideMark/>
          </w:tcPr>
          <w:p w14:paraId="772FDF11"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Full time</w:t>
            </w:r>
          </w:p>
        </w:tc>
        <w:tc>
          <w:tcPr>
            <w:tcW w:w="965" w:type="pct"/>
            <w:vAlign w:val="center"/>
            <w:hideMark/>
          </w:tcPr>
          <w:p w14:paraId="028D8365"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208</m:t>
                </m:r>
              </m:oMath>
            </m:oMathPara>
          </w:p>
        </w:tc>
        <w:tc>
          <w:tcPr>
            <w:tcW w:w="1139" w:type="pct"/>
            <w:vAlign w:val="center"/>
            <w:hideMark/>
          </w:tcPr>
          <w:p w14:paraId="09F662AE"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75.63</m:t>
                </m:r>
              </m:oMath>
            </m:oMathPara>
          </w:p>
        </w:tc>
      </w:tr>
      <w:tr w:rsidR="00CE04DC" w:rsidRPr="00321BE4" w14:paraId="2A66191B" w14:textId="77777777" w:rsidTr="00FD2373">
        <w:trPr>
          <w:trHeight w:val="19"/>
        </w:trPr>
        <w:tc>
          <w:tcPr>
            <w:tcW w:w="1544" w:type="pct"/>
            <w:vMerge/>
            <w:vAlign w:val="center"/>
            <w:hideMark/>
          </w:tcPr>
          <w:p w14:paraId="127C30F0"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416E3557"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Par time</w:t>
            </w:r>
          </w:p>
        </w:tc>
        <w:tc>
          <w:tcPr>
            <w:tcW w:w="965" w:type="pct"/>
            <w:vAlign w:val="center"/>
            <w:hideMark/>
          </w:tcPr>
          <w:p w14:paraId="3C010F64"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54</m:t>
                </m:r>
              </m:oMath>
            </m:oMathPara>
          </w:p>
        </w:tc>
        <w:tc>
          <w:tcPr>
            <w:tcW w:w="1139" w:type="pct"/>
            <w:vAlign w:val="center"/>
            <w:hideMark/>
          </w:tcPr>
          <w:p w14:paraId="0FB83F6E"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19.64</m:t>
                </m:r>
              </m:oMath>
            </m:oMathPara>
          </w:p>
        </w:tc>
      </w:tr>
      <w:tr w:rsidR="00CE04DC" w:rsidRPr="00321BE4" w14:paraId="3712895E" w14:textId="77777777" w:rsidTr="00FD2373">
        <w:trPr>
          <w:trHeight w:val="19"/>
        </w:trPr>
        <w:tc>
          <w:tcPr>
            <w:tcW w:w="1544" w:type="pct"/>
            <w:vMerge/>
            <w:vAlign w:val="center"/>
            <w:hideMark/>
          </w:tcPr>
          <w:p w14:paraId="29DDF8DA"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43A08715"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Self-employment</w:t>
            </w:r>
          </w:p>
        </w:tc>
        <w:tc>
          <w:tcPr>
            <w:tcW w:w="965" w:type="pct"/>
            <w:vAlign w:val="center"/>
            <w:hideMark/>
          </w:tcPr>
          <w:p w14:paraId="006AF9D7"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13</m:t>
                </m:r>
              </m:oMath>
            </m:oMathPara>
          </w:p>
        </w:tc>
        <w:tc>
          <w:tcPr>
            <w:tcW w:w="1139" w:type="pct"/>
            <w:vAlign w:val="center"/>
            <w:hideMark/>
          </w:tcPr>
          <w:p w14:paraId="22FF4BFA"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4.73</m:t>
                </m:r>
              </m:oMath>
            </m:oMathPara>
          </w:p>
        </w:tc>
      </w:tr>
      <w:tr w:rsidR="00CE04DC" w:rsidRPr="00321BE4" w14:paraId="7F26175B" w14:textId="77777777" w:rsidTr="00FD2373">
        <w:trPr>
          <w:trHeight w:val="19"/>
        </w:trPr>
        <w:tc>
          <w:tcPr>
            <w:tcW w:w="1544" w:type="pct"/>
            <w:vMerge w:val="restart"/>
            <w:vAlign w:val="center"/>
            <w:hideMark/>
          </w:tcPr>
          <w:p w14:paraId="5D2CAE6E"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Women's Education</w:t>
            </w:r>
          </w:p>
        </w:tc>
        <w:tc>
          <w:tcPr>
            <w:tcW w:w="1352" w:type="pct"/>
            <w:vAlign w:val="center"/>
            <w:hideMark/>
          </w:tcPr>
          <w:p w14:paraId="162C9ADD"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Higher secondary</w:t>
            </w:r>
          </w:p>
        </w:tc>
        <w:tc>
          <w:tcPr>
            <w:tcW w:w="965" w:type="pct"/>
            <w:vAlign w:val="center"/>
            <w:hideMark/>
          </w:tcPr>
          <w:p w14:paraId="483DCF26"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12</m:t>
                </m:r>
              </m:oMath>
            </m:oMathPara>
          </w:p>
        </w:tc>
        <w:tc>
          <w:tcPr>
            <w:tcW w:w="1139" w:type="pct"/>
            <w:vAlign w:val="center"/>
            <w:hideMark/>
          </w:tcPr>
          <w:p w14:paraId="0640CDDC"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4.36</m:t>
                </m:r>
              </m:oMath>
            </m:oMathPara>
          </w:p>
        </w:tc>
      </w:tr>
      <w:tr w:rsidR="00CE04DC" w:rsidRPr="00321BE4" w14:paraId="727F7F9A" w14:textId="77777777" w:rsidTr="00FD2373">
        <w:trPr>
          <w:trHeight w:val="19"/>
        </w:trPr>
        <w:tc>
          <w:tcPr>
            <w:tcW w:w="1544" w:type="pct"/>
            <w:vMerge/>
            <w:vAlign w:val="center"/>
            <w:hideMark/>
          </w:tcPr>
          <w:p w14:paraId="735B053A"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05E475FD"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Graduation</w:t>
            </w:r>
          </w:p>
        </w:tc>
        <w:tc>
          <w:tcPr>
            <w:tcW w:w="965" w:type="pct"/>
            <w:vAlign w:val="center"/>
            <w:hideMark/>
          </w:tcPr>
          <w:p w14:paraId="288F1E63"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53</m:t>
                </m:r>
              </m:oMath>
            </m:oMathPara>
          </w:p>
        </w:tc>
        <w:tc>
          <w:tcPr>
            <w:tcW w:w="1139" w:type="pct"/>
            <w:vAlign w:val="center"/>
            <w:hideMark/>
          </w:tcPr>
          <w:p w14:paraId="158D8DA4"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19.27</m:t>
                </m:r>
              </m:oMath>
            </m:oMathPara>
          </w:p>
        </w:tc>
      </w:tr>
      <w:tr w:rsidR="00CE04DC" w:rsidRPr="00321BE4" w14:paraId="648E3886" w14:textId="77777777" w:rsidTr="00FD2373">
        <w:trPr>
          <w:trHeight w:val="19"/>
        </w:trPr>
        <w:tc>
          <w:tcPr>
            <w:tcW w:w="1544" w:type="pct"/>
            <w:vMerge/>
            <w:vAlign w:val="center"/>
            <w:hideMark/>
          </w:tcPr>
          <w:p w14:paraId="204F2B89"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1845F286"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Postgraduation</w:t>
            </w:r>
          </w:p>
        </w:tc>
        <w:tc>
          <w:tcPr>
            <w:tcW w:w="965" w:type="pct"/>
            <w:vAlign w:val="center"/>
            <w:hideMark/>
          </w:tcPr>
          <w:p w14:paraId="4E75CAA8"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210</m:t>
                </m:r>
              </m:oMath>
            </m:oMathPara>
          </w:p>
        </w:tc>
        <w:tc>
          <w:tcPr>
            <w:tcW w:w="1139" w:type="pct"/>
            <w:vAlign w:val="center"/>
            <w:hideMark/>
          </w:tcPr>
          <w:p w14:paraId="17EC6FEB"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76.36</m:t>
                </m:r>
              </m:oMath>
            </m:oMathPara>
          </w:p>
        </w:tc>
      </w:tr>
      <w:tr w:rsidR="00CE04DC" w:rsidRPr="00321BE4" w14:paraId="7898048A" w14:textId="77777777" w:rsidTr="00FD2373">
        <w:trPr>
          <w:trHeight w:val="19"/>
        </w:trPr>
        <w:tc>
          <w:tcPr>
            <w:tcW w:w="1544" w:type="pct"/>
            <w:vMerge w:val="restart"/>
            <w:vAlign w:val="center"/>
            <w:hideMark/>
          </w:tcPr>
          <w:p w14:paraId="3F1B68B0"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Family Types</w:t>
            </w:r>
          </w:p>
        </w:tc>
        <w:tc>
          <w:tcPr>
            <w:tcW w:w="1352" w:type="pct"/>
            <w:vAlign w:val="center"/>
            <w:hideMark/>
          </w:tcPr>
          <w:p w14:paraId="198BF305"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Nuclear</w:t>
            </w:r>
          </w:p>
        </w:tc>
        <w:tc>
          <w:tcPr>
            <w:tcW w:w="965" w:type="pct"/>
            <w:vAlign w:val="center"/>
            <w:hideMark/>
          </w:tcPr>
          <w:p w14:paraId="28F6BA72"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193</m:t>
                </m:r>
              </m:oMath>
            </m:oMathPara>
          </w:p>
        </w:tc>
        <w:tc>
          <w:tcPr>
            <w:tcW w:w="1139" w:type="pct"/>
            <w:vAlign w:val="center"/>
            <w:hideMark/>
          </w:tcPr>
          <w:p w14:paraId="1C5B60A9"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70.18</m:t>
                </m:r>
              </m:oMath>
            </m:oMathPara>
          </w:p>
        </w:tc>
      </w:tr>
      <w:tr w:rsidR="00CE04DC" w:rsidRPr="00321BE4" w14:paraId="0D28FEB4" w14:textId="77777777" w:rsidTr="00FD2373">
        <w:trPr>
          <w:trHeight w:val="19"/>
        </w:trPr>
        <w:tc>
          <w:tcPr>
            <w:tcW w:w="1544" w:type="pct"/>
            <w:vMerge/>
            <w:vAlign w:val="center"/>
            <w:hideMark/>
          </w:tcPr>
          <w:p w14:paraId="7AF31778"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5AD841D1"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Extended</w:t>
            </w:r>
          </w:p>
        </w:tc>
        <w:tc>
          <w:tcPr>
            <w:tcW w:w="965" w:type="pct"/>
            <w:vAlign w:val="center"/>
            <w:hideMark/>
          </w:tcPr>
          <w:p w14:paraId="3561C611"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82</m:t>
                </m:r>
              </m:oMath>
            </m:oMathPara>
          </w:p>
        </w:tc>
        <w:tc>
          <w:tcPr>
            <w:tcW w:w="1139" w:type="pct"/>
            <w:vAlign w:val="center"/>
            <w:hideMark/>
          </w:tcPr>
          <w:p w14:paraId="02F85D89"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29.82</m:t>
                </m:r>
              </m:oMath>
            </m:oMathPara>
          </w:p>
        </w:tc>
      </w:tr>
      <w:tr w:rsidR="00CE04DC" w:rsidRPr="00321BE4" w14:paraId="7705C06B" w14:textId="77777777" w:rsidTr="00FD2373">
        <w:trPr>
          <w:trHeight w:val="19"/>
        </w:trPr>
        <w:tc>
          <w:tcPr>
            <w:tcW w:w="1544" w:type="pct"/>
            <w:vMerge w:val="restart"/>
            <w:vAlign w:val="center"/>
            <w:hideMark/>
          </w:tcPr>
          <w:p w14:paraId="78C00021"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Income Levels (in BDT)</w:t>
            </w:r>
          </w:p>
        </w:tc>
        <w:tc>
          <w:tcPr>
            <w:tcW w:w="1352" w:type="pct"/>
            <w:vAlign w:val="center"/>
            <w:hideMark/>
          </w:tcPr>
          <w:p w14:paraId="78D1E06C"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&gt;50000</w:t>
            </w:r>
          </w:p>
        </w:tc>
        <w:tc>
          <w:tcPr>
            <w:tcW w:w="965" w:type="pct"/>
            <w:vAlign w:val="center"/>
            <w:hideMark/>
          </w:tcPr>
          <w:p w14:paraId="269B7643"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146</m:t>
                </m:r>
              </m:oMath>
            </m:oMathPara>
          </w:p>
        </w:tc>
        <w:tc>
          <w:tcPr>
            <w:tcW w:w="1139" w:type="pct"/>
            <w:vAlign w:val="center"/>
            <w:hideMark/>
          </w:tcPr>
          <w:p w14:paraId="3514B8E4"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53.09</m:t>
                </m:r>
              </m:oMath>
            </m:oMathPara>
          </w:p>
        </w:tc>
      </w:tr>
      <w:tr w:rsidR="00CE04DC" w:rsidRPr="00321BE4" w14:paraId="27C49BCA" w14:textId="77777777" w:rsidTr="00FD2373">
        <w:trPr>
          <w:trHeight w:val="19"/>
        </w:trPr>
        <w:tc>
          <w:tcPr>
            <w:tcW w:w="1544" w:type="pct"/>
            <w:vMerge/>
            <w:vAlign w:val="center"/>
            <w:hideMark/>
          </w:tcPr>
          <w:p w14:paraId="32B3AE8D"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323C1D6E"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20000-50000</w:t>
            </w:r>
          </w:p>
        </w:tc>
        <w:tc>
          <w:tcPr>
            <w:tcW w:w="965" w:type="pct"/>
            <w:vAlign w:val="center"/>
            <w:hideMark/>
          </w:tcPr>
          <w:p w14:paraId="4741E65E"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106</m:t>
                </m:r>
              </m:oMath>
            </m:oMathPara>
          </w:p>
        </w:tc>
        <w:tc>
          <w:tcPr>
            <w:tcW w:w="1139" w:type="pct"/>
            <w:vAlign w:val="center"/>
            <w:hideMark/>
          </w:tcPr>
          <w:p w14:paraId="462F8315"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38.55</m:t>
                </m:r>
              </m:oMath>
            </m:oMathPara>
          </w:p>
        </w:tc>
      </w:tr>
      <w:tr w:rsidR="00CE04DC" w:rsidRPr="00321BE4" w14:paraId="5EC7F074" w14:textId="77777777" w:rsidTr="00FD2373">
        <w:trPr>
          <w:trHeight w:val="19"/>
        </w:trPr>
        <w:tc>
          <w:tcPr>
            <w:tcW w:w="1544" w:type="pct"/>
            <w:vMerge/>
            <w:vAlign w:val="center"/>
            <w:hideMark/>
          </w:tcPr>
          <w:p w14:paraId="3C996216"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6354A754"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10000-20000</w:t>
            </w:r>
          </w:p>
        </w:tc>
        <w:tc>
          <w:tcPr>
            <w:tcW w:w="965" w:type="pct"/>
            <w:vAlign w:val="center"/>
            <w:hideMark/>
          </w:tcPr>
          <w:p w14:paraId="41A42A57"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12</m:t>
                </m:r>
              </m:oMath>
            </m:oMathPara>
          </w:p>
        </w:tc>
        <w:tc>
          <w:tcPr>
            <w:tcW w:w="1139" w:type="pct"/>
            <w:vAlign w:val="center"/>
            <w:hideMark/>
          </w:tcPr>
          <w:p w14:paraId="51F929DD"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4.36</m:t>
                </m:r>
              </m:oMath>
            </m:oMathPara>
          </w:p>
        </w:tc>
      </w:tr>
      <w:tr w:rsidR="00CE04DC" w:rsidRPr="00321BE4" w14:paraId="4596997E" w14:textId="77777777" w:rsidTr="00FD2373">
        <w:trPr>
          <w:trHeight w:val="19"/>
        </w:trPr>
        <w:tc>
          <w:tcPr>
            <w:tcW w:w="1544" w:type="pct"/>
            <w:vMerge/>
            <w:vAlign w:val="center"/>
            <w:hideMark/>
          </w:tcPr>
          <w:p w14:paraId="376084EE" w14:textId="77777777" w:rsidR="00CE04DC" w:rsidRPr="00321BE4" w:rsidRDefault="00CE04DC" w:rsidP="002F09F0">
            <w:pPr>
              <w:jc w:val="both"/>
              <w:rPr>
                <w:rFonts w:ascii="Times New Roman" w:hAnsi="Times New Roman" w:cs="Times New Roman"/>
                <w:sz w:val="20"/>
                <w:szCs w:val="20"/>
              </w:rPr>
            </w:pPr>
          </w:p>
        </w:tc>
        <w:tc>
          <w:tcPr>
            <w:tcW w:w="1352" w:type="pct"/>
            <w:vAlign w:val="center"/>
            <w:hideMark/>
          </w:tcPr>
          <w:p w14:paraId="0CD882CB"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&lt;10000</w:t>
            </w:r>
          </w:p>
        </w:tc>
        <w:tc>
          <w:tcPr>
            <w:tcW w:w="965" w:type="pct"/>
            <w:vAlign w:val="center"/>
            <w:hideMark/>
          </w:tcPr>
          <w:p w14:paraId="691E6189"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11</m:t>
                </m:r>
              </m:oMath>
            </m:oMathPara>
          </w:p>
        </w:tc>
        <w:tc>
          <w:tcPr>
            <w:tcW w:w="1139" w:type="pct"/>
            <w:vAlign w:val="center"/>
            <w:hideMark/>
          </w:tcPr>
          <w:p w14:paraId="4D90C306" w14:textId="77777777" w:rsidR="00CE04DC" w:rsidRPr="00321BE4" w:rsidRDefault="00CE04DC" w:rsidP="002F09F0">
            <w:pPr>
              <w:jc w:val="both"/>
              <w:rPr>
                <w:rFonts w:ascii="Cambria Math" w:hAnsi="Cambria Math" w:cs="Times New Roman"/>
                <w:sz w:val="20"/>
                <w:szCs w:val="20"/>
                <w:oMath/>
              </w:rPr>
            </w:pPr>
            <m:oMathPara>
              <m:oMath>
                <m:r>
                  <w:rPr>
                    <w:rFonts w:ascii="Cambria Math" w:hAnsi="Cambria Math" w:cs="Times New Roman"/>
                    <w:sz w:val="20"/>
                    <w:szCs w:val="20"/>
                  </w:rPr>
                  <m:t>4.00</m:t>
                </m:r>
              </m:oMath>
            </m:oMathPara>
          </w:p>
        </w:tc>
      </w:tr>
    </w:tbl>
    <w:p w14:paraId="3D8B4839" w14:textId="77777777" w:rsidR="00CE04DC" w:rsidRPr="00321BE4" w:rsidRDefault="00CE04DC" w:rsidP="00CE04DC">
      <w:pPr>
        <w:jc w:val="both"/>
        <w:rPr>
          <w:sz w:val="20"/>
          <w:szCs w:val="20"/>
        </w:rPr>
      </w:pPr>
    </w:p>
    <w:p w14:paraId="235E7732" w14:textId="77777777" w:rsidR="00CE04DC" w:rsidRDefault="00CE04DC" w:rsidP="00FD2373">
      <w:pPr>
        <w:spacing w:line="324" w:lineRule="auto"/>
        <w:jc w:val="both"/>
        <w:rPr>
          <w:b/>
          <w:bCs/>
          <w:sz w:val="20"/>
          <w:szCs w:val="20"/>
        </w:rPr>
      </w:pPr>
      <w:r w:rsidRPr="00321BE4">
        <w:rPr>
          <w:sz w:val="20"/>
          <w:szCs w:val="20"/>
        </w:rPr>
        <w:t>The graphical analysis of stress, depression, and spousal support levels reveals significant insights. Most working mothers report experiencing moderate stress, with 88% falling into this category, which suggests that while stress is common, it typically does not escalate to severe levels. Depression presents a more concerning picture, with 51% of working mothers experiencing moderate and 43% experiencing high levels, indicating a prevalent issue that may require effective mental health interventions. In contrast, support from Spouse is predominantly low, as 64% of working mothers reported receiving a low support level from their spouse, with only 21% experiencing high support</w:t>
      </w:r>
      <w:r w:rsidRPr="00321BE4">
        <w:rPr>
          <w:b/>
          <w:bCs/>
          <w:sz w:val="20"/>
          <w:szCs w:val="20"/>
        </w:rPr>
        <w:t xml:space="preserve"> (Figure 2).</w:t>
      </w:r>
    </w:p>
    <w:p w14:paraId="26FED3F5" w14:textId="77777777" w:rsidR="00FD2373" w:rsidRPr="00321BE4" w:rsidRDefault="00FD2373" w:rsidP="00FD2373">
      <w:pPr>
        <w:spacing w:line="324" w:lineRule="auto"/>
        <w:jc w:val="both"/>
        <w:rPr>
          <w:b/>
          <w:bCs/>
          <w:sz w:val="20"/>
          <w:szCs w:val="20"/>
        </w:rPr>
      </w:pPr>
    </w:p>
    <w:p w14:paraId="3CE45FF5" w14:textId="77777777" w:rsidR="00CE04DC" w:rsidRPr="00321BE4" w:rsidRDefault="00CE04DC" w:rsidP="000A520E">
      <w:pPr>
        <w:keepNext/>
        <w:jc w:val="center"/>
        <w:rPr>
          <w:sz w:val="20"/>
          <w:szCs w:val="20"/>
        </w:rPr>
      </w:pPr>
      <w:r w:rsidRPr="00CE04DC">
        <w:rPr>
          <w:noProof/>
          <w:sz w:val="20"/>
          <w:szCs w:val="20"/>
        </w:rPr>
        <w:drawing>
          <wp:inline distT="0" distB="0" distL="0" distR="0" wp14:anchorId="2EC71FC8" wp14:editId="6C671745">
            <wp:extent cx="4160520" cy="2846070"/>
            <wp:effectExtent l="0" t="0" r="0" b="0"/>
            <wp:docPr id="111494746" name="Chart 1">
              <a:extLst xmlns:a="http://schemas.openxmlformats.org/drawingml/2006/main">
                <a:ext uri="{FF2B5EF4-FFF2-40B4-BE49-F238E27FC236}">
                  <a16:creationId xmlns:a16="http://schemas.microsoft.com/office/drawing/2014/main" id="{F4B80A79-B96D-4953-0725-FE4B2D5B7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CEE6722" w14:textId="77777777" w:rsidR="00FD2373" w:rsidRDefault="00FD2373" w:rsidP="00FD2373">
      <w:pPr>
        <w:pStyle w:val="Caption"/>
        <w:spacing w:line="240" w:lineRule="auto"/>
        <w:jc w:val="center"/>
        <w:rPr>
          <w:color w:val="000000" w:themeColor="text1"/>
          <w:sz w:val="20"/>
          <w:szCs w:val="20"/>
        </w:rPr>
      </w:pPr>
      <w:bookmarkStart w:id="10" w:name="_Toc166993668"/>
    </w:p>
    <w:p w14:paraId="2042108C" w14:textId="1A428D95" w:rsidR="00CE04DC" w:rsidRPr="00FD2373" w:rsidRDefault="00CE04DC" w:rsidP="00FD2373">
      <w:pPr>
        <w:pStyle w:val="Caption"/>
        <w:spacing w:line="240" w:lineRule="auto"/>
        <w:jc w:val="center"/>
        <w:rPr>
          <w:b w:val="0"/>
          <w:bCs w:val="0"/>
          <w:i/>
          <w:iCs/>
          <w:color w:val="000000" w:themeColor="text1"/>
          <w:sz w:val="20"/>
          <w:szCs w:val="20"/>
        </w:rPr>
      </w:pPr>
      <w:r w:rsidRPr="00321BE4">
        <w:rPr>
          <w:color w:val="000000" w:themeColor="text1"/>
          <w:sz w:val="20"/>
          <w:szCs w:val="20"/>
        </w:rPr>
        <w:t>Figure 2</w:t>
      </w:r>
      <w:r w:rsidR="000A520E">
        <w:rPr>
          <w:color w:val="000000" w:themeColor="text1"/>
          <w:sz w:val="20"/>
          <w:szCs w:val="20"/>
        </w:rPr>
        <w:t>.</w:t>
      </w:r>
      <w:r w:rsidRPr="00321BE4">
        <w:rPr>
          <w:color w:val="000000" w:themeColor="text1"/>
          <w:sz w:val="20"/>
          <w:szCs w:val="20"/>
        </w:rPr>
        <w:t xml:space="preserve"> </w:t>
      </w:r>
      <w:r w:rsidRPr="00FD2373">
        <w:rPr>
          <w:b w:val="0"/>
          <w:bCs w:val="0"/>
          <w:color w:val="000000" w:themeColor="text1"/>
          <w:sz w:val="20"/>
          <w:szCs w:val="20"/>
        </w:rPr>
        <w:t xml:space="preserve">Comparative Analysis of Working </w:t>
      </w:r>
      <w:r w:rsidR="00FD2373">
        <w:rPr>
          <w:b w:val="0"/>
          <w:bCs w:val="0"/>
          <w:color w:val="000000" w:themeColor="text1"/>
          <w:sz w:val="20"/>
          <w:szCs w:val="20"/>
        </w:rPr>
        <w:t>M</w:t>
      </w:r>
      <w:r w:rsidRPr="00FD2373">
        <w:rPr>
          <w:b w:val="0"/>
          <w:bCs w:val="0"/>
          <w:color w:val="000000" w:themeColor="text1"/>
          <w:sz w:val="20"/>
          <w:szCs w:val="20"/>
        </w:rPr>
        <w:t xml:space="preserve">other </w:t>
      </w:r>
      <w:r w:rsidR="00FD2373">
        <w:rPr>
          <w:b w:val="0"/>
          <w:bCs w:val="0"/>
          <w:color w:val="000000" w:themeColor="text1"/>
          <w:sz w:val="20"/>
          <w:szCs w:val="20"/>
        </w:rPr>
        <w:t>S</w:t>
      </w:r>
      <w:r w:rsidRPr="00FD2373">
        <w:rPr>
          <w:b w:val="0"/>
          <w:bCs w:val="0"/>
          <w:color w:val="000000" w:themeColor="text1"/>
          <w:sz w:val="20"/>
          <w:szCs w:val="20"/>
        </w:rPr>
        <w:t xml:space="preserve">tress, Depression, and Spousal Support Levels among </w:t>
      </w:r>
      <w:r w:rsidR="00FD2373">
        <w:rPr>
          <w:b w:val="0"/>
          <w:bCs w:val="0"/>
          <w:color w:val="000000" w:themeColor="text1"/>
          <w:sz w:val="20"/>
          <w:szCs w:val="20"/>
        </w:rPr>
        <w:t>R</w:t>
      </w:r>
      <w:r w:rsidRPr="00FD2373">
        <w:rPr>
          <w:b w:val="0"/>
          <w:bCs w:val="0"/>
          <w:color w:val="000000" w:themeColor="text1"/>
          <w:sz w:val="20"/>
          <w:szCs w:val="20"/>
        </w:rPr>
        <w:t>espondents</w:t>
      </w:r>
      <w:bookmarkEnd w:id="10"/>
    </w:p>
    <w:p w14:paraId="21819CD5" w14:textId="77777777" w:rsidR="00CE04DC" w:rsidRPr="00FD2373" w:rsidRDefault="00CE04DC" w:rsidP="00CE04DC">
      <w:pPr>
        <w:pStyle w:val="Heading3"/>
        <w:spacing w:before="0" w:after="0"/>
        <w:rPr>
          <w:rFonts w:ascii="Times New Roman" w:hAnsi="Times New Roman" w:cs="Times New Roman"/>
          <w:b w:val="0"/>
          <w:bCs w:val="0"/>
          <w:i/>
          <w:iCs/>
          <w:sz w:val="20"/>
          <w:szCs w:val="20"/>
        </w:rPr>
      </w:pPr>
      <w:bookmarkStart w:id="11" w:name="_Toc166993747"/>
    </w:p>
    <w:p w14:paraId="046A6648" w14:textId="77777777" w:rsidR="00CE04DC" w:rsidRDefault="00CE04DC" w:rsidP="00CE04DC">
      <w:pPr>
        <w:pStyle w:val="Heading3"/>
        <w:spacing w:before="0" w:after="0"/>
        <w:rPr>
          <w:rFonts w:ascii="Times New Roman" w:hAnsi="Times New Roman" w:cs="Times New Roman"/>
          <w:i/>
          <w:iCs/>
          <w:sz w:val="20"/>
          <w:szCs w:val="20"/>
        </w:rPr>
      </w:pPr>
      <w:r w:rsidRPr="00321BE4">
        <w:rPr>
          <w:rFonts w:ascii="Times New Roman" w:hAnsi="Times New Roman" w:cs="Times New Roman"/>
          <w:i/>
          <w:iCs/>
          <w:sz w:val="20"/>
          <w:szCs w:val="20"/>
        </w:rPr>
        <w:t>Exploratory Factor Analysis (EFA) for Different Scales</w:t>
      </w:r>
      <w:bookmarkEnd w:id="11"/>
    </w:p>
    <w:p w14:paraId="776C9888" w14:textId="77777777" w:rsidR="00FD2373" w:rsidRPr="00FD2373" w:rsidRDefault="00FD2373" w:rsidP="00FD2373"/>
    <w:p w14:paraId="00E295E7" w14:textId="77777777" w:rsidR="00CE04DC" w:rsidRPr="00321BE4" w:rsidRDefault="00CE04DC" w:rsidP="00FD2373">
      <w:pPr>
        <w:spacing w:line="324" w:lineRule="auto"/>
        <w:jc w:val="both"/>
        <w:rPr>
          <w:sz w:val="20"/>
          <w:szCs w:val="20"/>
        </w:rPr>
      </w:pPr>
      <w:bookmarkStart w:id="12" w:name="_Hlk165737093"/>
      <w:r w:rsidRPr="00321BE4">
        <w:rPr>
          <w:sz w:val="20"/>
          <w:szCs w:val="20"/>
        </w:rPr>
        <w:t>For the working mother stress scale, the Kaiser–Meyer–Olkin (KMO) statistic was 0.566, and Bartlett’s test was statistically significant (</w:t>
      </w:r>
      <w:r w:rsidRPr="00321BE4">
        <w:rPr>
          <w:i/>
          <w:iCs/>
          <w:sz w:val="20"/>
          <w:szCs w:val="20"/>
        </w:rPr>
        <w:t>p</w:t>
      </w:r>
      <w:r w:rsidRPr="00321BE4">
        <w:rPr>
          <w:sz w:val="20"/>
          <w:szCs w:val="20"/>
        </w:rPr>
        <w:t xml:space="preserve">-value &lt; 0.001), indicating that the data met the assumptions of EFA. </w:t>
      </w:r>
      <w:bookmarkEnd w:id="12"/>
      <w:r w:rsidRPr="00321BE4">
        <w:rPr>
          <w:sz w:val="20"/>
          <w:szCs w:val="20"/>
        </w:rPr>
        <w:t xml:space="preserve">The EFA results for the working mother stress scale reveal a wide range of factor loadings and uniqueness values, with items “caring for child (WMS3)”, source of stress </w:t>
      </w:r>
      <w:proofErr w:type="gramStart"/>
      <w:r w:rsidRPr="00321BE4">
        <w:rPr>
          <w:sz w:val="20"/>
          <w:szCs w:val="20"/>
        </w:rPr>
        <w:t>are</w:t>
      </w:r>
      <w:proofErr w:type="gramEnd"/>
      <w:r w:rsidRPr="00321BE4">
        <w:rPr>
          <w:sz w:val="20"/>
          <w:szCs w:val="20"/>
        </w:rPr>
        <w:t xml:space="preserve"> child (WMS9, WMS10, and WMS12, WMS13, WMS15, and WMS16 displaying particularly low or negative loadings and high uniqueness, indicating potential misalignment with the underlying construct of working mother stress. These items are candidates for removal or revision. In contrast, items such as WMS6 and WMS18 exhibit strong loadings, suggesting they are well aligned with the latent factor. Similarly, for the Patient Health Questionnaire-9, the KMO statistic was 0.539, and Bartlett’s test was statistically significant (</w:t>
      </w:r>
      <w:r w:rsidRPr="00321BE4">
        <w:rPr>
          <w:i/>
          <w:iCs/>
          <w:sz w:val="20"/>
          <w:szCs w:val="20"/>
        </w:rPr>
        <w:t>p</w:t>
      </w:r>
      <w:r w:rsidRPr="00321BE4">
        <w:rPr>
          <w:sz w:val="20"/>
          <w:szCs w:val="20"/>
        </w:rPr>
        <w:t>-value&lt; 0.001), indicating that the data met the assumptions of EFA. For the PHQ-9 scale, all items exhibit strong factor loadings and relatively low uniqueness values, supporting their collective efficacy in consistently and robustly assessing depressive symptoms across the cohort. For the Spousal Support Scale, the KMO statistic was 0.833, and Bartlett’s test was statistically significant (</w:t>
      </w:r>
      <w:r w:rsidRPr="00321BE4">
        <w:rPr>
          <w:i/>
          <w:iCs/>
          <w:sz w:val="20"/>
          <w:szCs w:val="20"/>
        </w:rPr>
        <w:t>p</w:t>
      </w:r>
      <w:r w:rsidRPr="00321BE4">
        <w:rPr>
          <w:sz w:val="20"/>
          <w:szCs w:val="20"/>
        </w:rPr>
        <w:t>-value &lt; 0.001), indicating that the data met the assumptions of EFA. The Spousal Support Scale results indicate that while SSS1 shows a weaker relationship with the latent construct (evidenced by a lower loading and higher uniqueness), items SSS2 and SSS3 are highly indicative of Spousal support, as shown by their high loadings and low uniqueness [T</w:t>
      </w:r>
      <w:r w:rsidRPr="00321BE4">
        <w:rPr>
          <w:b/>
          <w:bCs/>
          <w:sz w:val="20"/>
          <w:szCs w:val="20"/>
        </w:rPr>
        <w:t>able 2]</w:t>
      </w:r>
      <w:r w:rsidRPr="00321BE4">
        <w:rPr>
          <w:sz w:val="20"/>
          <w:szCs w:val="20"/>
        </w:rPr>
        <w:t>.</w:t>
      </w:r>
    </w:p>
    <w:p w14:paraId="0F9D65CF" w14:textId="77777777" w:rsidR="00CE04DC" w:rsidRPr="00321BE4" w:rsidRDefault="00CE04DC" w:rsidP="00CE04DC">
      <w:pPr>
        <w:jc w:val="both"/>
        <w:rPr>
          <w:sz w:val="20"/>
          <w:szCs w:val="20"/>
        </w:rPr>
      </w:pPr>
    </w:p>
    <w:p w14:paraId="24577418" w14:textId="63EF516C" w:rsidR="00CE04DC" w:rsidRPr="00FD2373" w:rsidRDefault="00CE04DC" w:rsidP="00CE04DC">
      <w:pPr>
        <w:pStyle w:val="Caption"/>
        <w:keepNext/>
        <w:spacing w:line="240" w:lineRule="auto"/>
        <w:rPr>
          <w:b w:val="0"/>
          <w:bCs w:val="0"/>
          <w:color w:val="000000" w:themeColor="text1"/>
          <w:sz w:val="20"/>
          <w:szCs w:val="20"/>
        </w:rPr>
      </w:pPr>
      <w:bookmarkStart w:id="13" w:name="_Toc166993533"/>
      <w:r w:rsidRPr="00321BE4">
        <w:rPr>
          <w:color w:val="000000" w:themeColor="text1"/>
          <w:sz w:val="20"/>
          <w:szCs w:val="20"/>
        </w:rPr>
        <w:t xml:space="preserve">Table </w:t>
      </w:r>
      <w:r w:rsidRPr="00321BE4">
        <w:rPr>
          <w:b w:val="0"/>
          <w:bCs w:val="0"/>
          <w:i/>
          <w:iCs/>
          <w:color w:val="000000" w:themeColor="text1"/>
          <w:sz w:val="20"/>
          <w:szCs w:val="20"/>
        </w:rPr>
        <w:fldChar w:fldCharType="begin"/>
      </w:r>
      <w:r w:rsidRPr="00321BE4">
        <w:rPr>
          <w:color w:val="000000" w:themeColor="text1"/>
          <w:sz w:val="20"/>
          <w:szCs w:val="20"/>
        </w:rPr>
        <w:instrText xml:space="preserve"> SEQ Table \* ARABIC </w:instrText>
      </w:r>
      <w:r w:rsidRPr="00321BE4">
        <w:rPr>
          <w:b w:val="0"/>
          <w:bCs w:val="0"/>
          <w:i/>
          <w:iCs/>
          <w:color w:val="000000" w:themeColor="text1"/>
          <w:sz w:val="20"/>
          <w:szCs w:val="20"/>
        </w:rPr>
        <w:fldChar w:fldCharType="separate"/>
      </w:r>
      <w:r w:rsidRPr="00321BE4">
        <w:rPr>
          <w:noProof/>
          <w:color w:val="000000" w:themeColor="text1"/>
          <w:sz w:val="20"/>
          <w:szCs w:val="20"/>
        </w:rPr>
        <w:t>2</w:t>
      </w:r>
      <w:r w:rsidRPr="00321BE4">
        <w:rPr>
          <w:b w:val="0"/>
          <w:bCs w:val="0"/>
          <w:i/>
          <w:iCs/>
          <w:color w:val="000000" w:themeColor="text1"/>
          <w:sz w:val="20"/>
          <w:szCs w:val="20"/>
        </w:rPr>
        <w:fldChar w:fldCharType="end"/>
      </w:r>
      <w:r w:rsidR="00FD2373">
        <w:rPr>
          <w:b w:val="0"/>
          <w:bCs w:val="0"/>
          <w:color w:val="000000" w:themeColor="text1"/>
          <w:sz w:val="20"/>
          <w:szCs w:val="20"/>
        </w:rPr>
        <w:t>.</w:t>
      </w:r>
      <w:r w:rsidRPr="00321BE4">
        <w:rPr>
          <w:color w:val="000000" w:themeColor="text1"/>
          <w:sz w:val="20"/>
          <w:szCs w:val="20"/>
        </w:rPr>
        <w:t xml:space="preserve"> </w:t>
      </w:r>
      <w:r w:rsidRPr="00FD2373">
        <w:rPr>
          <w:b w:val="0"/>
          <w:bCs w:val="0"/>
          <w:color w:val="000000" w:themeColor="text1"/>
          <w:sz w:val="20"/>
          <w:szCs w:val="20"/>
        </w:rPr>
        <w:t>Exploratory Factor Analysis (EFA) for Different Scales (WMS18, PHQ9, SSS5)</w:t>
      </w:r>
      <w:bookmarkEnd w:id="13"/>
    </w:p>
    <w:p w14:paraId="6DD4C3B0" w14:textId="77777777" w:rsidR="00FD2373" w:rsidRPr="00FD2373" w:rsidRDefault="00FD2373" w:rsidP="00FD2373"/>
    <w:tbl>
      <w:tblPr>
        <w:tblStyle w:val="TableGrid"/>
        <w:tblW w:w="5070" w:type="pct"/>
        <w:jc w:val="center"/>
        <w:tblLayout w:type="fixed"/>
        <w:tblLook w:val="04A0" w:firstRow="1" w:lastRow="0" w:firstColumn="1" w:lastColumn="0" w:noHBand="0" w:noVBand="1"/>
      </w:tblPr>
      <w:tblGrid>
        <w:gridCol w:w="915"/>
        <w:gridCol w:w="5050"/>
        <w:gridCol w:w="996"/>
        <w:gridCol w:w="1099"/>
      </w:tblGrid>
      <w:tr w:rsidR="00CE04DC" w:rsidRPr="00321BE4" w14:paraId="064E2F5D" w14:textId="77777777" w:rsidTr="00FD2373">
        <w:trPr>
          <w:trHeight w:val="20"/>
          <w:tblHeader/>
          <w:jc w:val="center"/>
        </w:trPr>
        <w:tc>
          <w:tcPr>
            <w:tcW w:w="567" w:type="pct"/>
            <w:tcBorders>
              <w:left w:val="nil"/>
            </w:tcBorders>
            <w:vAlign w:val="center"/>
            <w:hideMark/>
          </w:tcPr>
          <w:p w14:paraId="4A0D7D0B"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Item</w:t>
            </w:r>
          </w:p>
        </w:tc>
        <w:tc>
          <w:tcPr>
            <w:tcW w:w="3133" w:type="pct"/>
            <w:tcBorders>
              <w:top w:val="single" w:sz="6" w:space="0" w:color="auto"/>
              <w:left w:val="single" w:sz="6" w:space="0" w:color="auto"/>
              <w:bottom w:val="single" w:sz="6" w:space="0" w:color="auto"/>
              <w:right w:val="single" w:sz="6" w:space="0" w:color="auto"/>
            </w:tcBorders>
            <w:shd w:val="clear" w:color="auto" w:fill="FFFFFF"/>
            <w:vAlign w:val="center"/>
          </w:tcPr>
          <w:p w14:paraId="0282F9A9"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color w:val="0D0D0D"/>
                <w:sz w:val="20"/>
                <w:szCs w:val="20"/>
              </w:rPr>
              <w:t>Statement</w:t>
            </w:r>
          </w:p>
        </w:tc>
        <w:tc>
          <w:tcPr>
            <w:tcW w:w="618" w:type="pct"/>
            <w:vAlign w:val="center"/>
            <w:hideMark/>
          </w:tcPr>
          <w:p w14:paraId="75B07E57"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Factor Loadings</w:t>
            </w:r>
          </w:p>
        </w:tc>
        <w:tc>
          <w:tcPr>
            <w:tcW w:w="683" w:type="pct"/>
            <w:tcBorders>
              <w:right w:val="nil"/>
            </w:tcBorders>
            <w:vAlign w:val="center"/>
            <w:hideMark/>
          </w:tcPr>
          <w:p w14:paraId="0EEBC76C"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b/>
                <w:bCs/>
                <w:sz w:val="20"/>
                <w:szCs w:val="20"/>
              </w:rPr>
              <w:t>Uniqueness</w:t>
            </w:r>
          </w:p>
        </w:tc>
      </w:tr>
      <w:tr w:rsidR="00CE04DC" w:rsidRPr="00321BE4" w14:paraId="23CCE85E" w14:textId="77777777" w:rsidTr="00FD2373">
        <w:trPr>
          <w:trHeight w:val="20"/>
          <w:jc w:val="center"/>
        </w:trPr>
        <w:tc>
          <w:tcPr>
            <w:tcW w:w="5000" w:type="pct"/>
            <w:gridSpan w:val="4"/>
            <w:tcBorders>
              <w:left w:val="nil"/>
              <w:right w:val="nil"/>
            </w:tcBorders>
          </w:tcPr>
          <w:p w14:paraId="007BADF3" w14:textId="77777777" w:rsidR="00CE04DC" w:rsidRPr="00321BE4" w:rsidRDefault="00CE04DC" w:rsidP="002F09F0">
            <w:pPr>
              <w:jc w:val="center"/>
              <w:rPr>
                <w:rFonts w:ascii="Times New Roman" w:hAnsi="Times New Roman" w:cs="Times New Roman"/>
                <w:b/>
                <w:bCs/>
                <w:iCs/>
                <w:sz w:val="20"/>
                <w:szCs w:val="20"/>
              </w:rPr>
            </w:pPr>
            <w:r w:rsidRPr="00321BE4">
              <w:rPr>
                <w:rFonts w:ascii="Times New Roman" w:hAnsi="Times New Roman" w:cs="Times New Roman"/>
                <w:b/>
                <w:bCs/>
                <w:color w:val="0D0D0D"/>
                <w:sz w:val="20"/>
                <w:szCs w:val="20"/>
              </w:rPr>
              <w:t>Working Mother Stress Scale (WMS-18)</w:t>
            </w:r>
          </w:p>
        </w:tc>
      </w:tr>
      <w:tr w:rsidR="00CE04DC" w:rsidRPr="00321BE4" w14:paraId="2D117AB5" w14:textId="77777777" w:rsidTr="00FD2373">
        <w:trPr>
          <w:trHeight w:val="20"/>
          <w:jc w:val="center"/>
        </w:trPr>
        <w:tc>
          <w:tcPr>
            <w:tcW w:w="567" w:type="pct"/>
            <w:tcBorders>
              <w:left w:val="nil"/>
            </w:tcBorders>
          </w:tcPr>
          <w:p w14:paraId="06FB349F" w14:textId="77777777" w:rsidR="00CE04DC" w:rsidRPr="00321BE4" w:rsidRDefault="00CE04DC" w:rsidP="002F09F0">
            <w:pPr>
              <w:jc w:val="center"/>
              <w:rPr>
                <w:rFonts w:ascii="Times New Roman" w:hAnsi="Times New Roman" w:cs="Times New Roman"/>
                <w:b/>
                <w:bCs/>
                <w:sz w:val="20"/>
                <w:szCs w:val="20"/>
              </w:rPr>
            </w:pPr>
            <w:r w:rsidRPr="00321BE4">
              <w:rPr>
                <w:rFonts w:ascii="Times New Roman" w:hAnsi="Times New Roman" w:cs="Times New Roman"/>
                <w:sz w:val="20"/>
                <w:szCs w:val="20"/>
              </w:rPr>
              <w:t>WMS1</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6E1E67E7" w14:textId="77777777" w:rsidR="00CE04DC" w:rsidRPr="00321BE4" w:rsidRDefault="00CE04DC" w:rsidP="002F09F0">
            <w:pPr>
              <w:jc w:val="both"/>
              <w:rPr>
                <w:rFonts w:ascii="Times New Roman" w:hAnsi="Times New Roman" w:cs="Times New Roman"/>
                <w:b/>
                <w:bCs/>
                <w:sz w:val="20"/>
                <w:szCs w:val="20"/>
              </w:rPr>
            </w:pPr>
            <w:r w:rsidRPr="00321BE4">
              <w:rPr>
                <w:rFonts w:ascii="Times New Roman" w:hAnsi="Times New Roman" w:cs="Times New Roman"/>
                <w:color w:val="0D0D0D"/>
                <w:sz w:val="20"/>
                <w:szCs w:val="20"/>
              </w:rPr>
              <w:t>I am happy in my role as a parent.</w:t>
            </w:r>
          </w:p>
        </w:tc>
        <w:tc>
          <w:tcPr>
            <w:tcW w:w="618" w:type="pct"/>
          </w:tcPr>
          <w:p w14:paraId="1F84EA9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0.551</m:t>
                </m:r>
              </m:oMath>
            </m:oMathPara>
          </w:p>
        </w:tc>
        <w:tc>
          <w:tcPr>
            <w:tcW w:w="683" w:type="pct"/>
            <w:tcBorders>
              <w:right w:val="nil"/>
            </w:tcBorders>
          </w:tcPr>
          <w:p w14:paraId="492860A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0.696</m:t>
                </m:r>
              </m:oMath>
            </m:oMathPara>
          </w:p>
        </w:tc>
      </w:tr>
      <w:tr w:rsidR="00CE04DC" w:rsidRPr="00321BE4" w14:paraId="06411BDE" w14:textId="77777777" w:rsidTr="00FD2373">
        <w:trPr>
          <w:trHeight w:val="20"/>
          <w:jc w:val="center"/>
        </w:trPr>
        <w:tc>
          <w:tcPr>
            <w:tcW w:w="567" w:type="pct"/>
            <w:tcBorders>
              <w:left w:val="nil"/>
            </w:tcBorders>
          </w:tcPr>
          <w:p w14:paraId="129D2B87"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WMS2</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329B8F3E"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There is little or nothing I wouldn't do for my child(ren) if it was necessary.</w:t>
            </w:r>
          </w:p>
        </w:tc>
        <w:tc>
          <w:tcPr>
            <w:tcW w:w="618" w:type="pct"/>
          </w:tcPr>
          <w:p w14:paraId="14D3160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0.474</m:t>
                </m:r>
              </m:oMath>
            </m:oMathPara>
          </w:p>
        </w:tc>
        <w:tc>
          <w:tcPr>
            <w:tcW w:w="683" w:type="pct"/>
            <w:tcBorders>
              <w:right w:val="nil"/>
            </w:tcBorders>
          </w:tcPr>
          <w:p w14:paraId="01005EC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0.775</m:t>
                </m:r>
              </m:oMath>
            </m:oMathPara>
          </w:p>
        </w:tc>
      </w:tr>
      <w:tr w:rsidR="00CE04DC" w:rsidRPr="00321BE4" w14:paraId="58CF131E" w14:textId="77777777" w:rsidTr="00FD2373">
        <w:trPr>
          <w:trHeight w:val="20"/>
          <w:jc w:val="center"/>
        </w:trPr>
        <w:tc>
          <w:tcPr>
            <w:tcW w:w="567" w:type="pct"/>
            <w:tcBorders>
              <w:left w:val="nil"/>
            </w:tcBorders>
          </w:tcPr>
          <w:p w14:paraId="0AD6B4C6"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WMS3</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69E1B37A" w14:textId="77777777" w:rsidR="00CE04DC" w:rsidRPr="00321BE4" w:rsidRDefault="00CE04DC" w:rsidP="002F09F0">
            <w:pPr>
              <w:jc w:val="both"/>
              <w:rPr>
                <w:rFonts w:ascii="Times New Roman" w:hAnsi="Times New Roman" w:cs="Times New Roman"/>
                <w:sz w:val="20"/>
                <w:szCs w:val="20"/>
              </w:rPr>
            </w:pPr>
            <w:bookmarkStart w:id="14" w:name="_Hlk169859241"/>
            <w:r w:rsidRPr="00321BE4">
              <w:rPr>
                <w:rFonts w:ascii="Times New Roman" w:hAnsi="Times New Roman" w:cs="Times New Roman"/>
                <w:color w:val="0D0D0D"/>
                <w:sz w:val="20"/>
                <w:szCs w:val="20"/>
              </w:rPr>
              <w:t>Caring for my child(ren) sometimes takes more time and energy than I have to give.</w:t>
            </w:r>
            <w:bookmarkEnd w:id="14"/>
          </w:p>
        </w:tc>
        <w:tc>
          <w:tcPr>
            <w:tcW w:w="618" w:type="pct"/>
          </w:tcPr>
          <w:p w14:paraId="12AF3BF3"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-0.007</m:t>
                </m:r>
              </m:oMath>
            </m:oMathPara>
          </w:p>
        </w:tc>
        <w:tc>
          <w:tcPr>
            <w:tcW w:w="683" w:type="pct"/>
            <w:tcBorders>
              <w:right w:val="nil"/>
            </w:tcBorders>
          </w:tcPr>
          <w:p w14:paraId="679BA32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1.000</m:t>
                </m:r>
              </m:oMath>
            </m:oMathPara>
          </w:p>
        </w:tc>
      </w:tr>
      <w:tr w:rsidR="00CE04DC" w:rsidRPr="00321BE4" w14:paraId="59E20546" w14:textId="77777777" w:rsidTr="00FD2373">
        <w:trPr>
          <w:trHeight w:val="20"/>
          <w:jc w:val="center"/>
        </w:trPr>
        <w:tc>
          <w:tcPr>
            <w:tcW w:w="567" w:type="pct"/>
            <w:tcBorders>
              <w:left w:val="nil"/>
            </w:tcBorders>
          </w:tcPr>
          <w:p w14:paraId="1B1D3AB8"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WMS4</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4B626FFF"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 sometimes worry whether I am doing enough for my child(ren).</w:t>
            </w:r>
          </w:p>
        </w:tc>
        <w:tc>
          <w:tcPr>
            <w:tcW w:w="618" w:type="pct"/>
          </w:tcPr>
          <w:p w14:paraId="1A6F6A99"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0.554</m:t>
                </m:r>
              </m:oMath>
            </m:oMathPara>
          </w:p>
        </w:tc>
        <w:tc>
          <w:tcPr>
            <w:tcW w:w="683" w:type="pct"/>
            <w:tcBorders>
              <w:right w:val="nil"/>
            </w:tcBorders>
          </w:tcPr>
          <w:p w14:paraId="3F5924B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0.692</m:t>
                </m:r>
              </m:oMath>
            </m:oMathPara>
          </w:p>
        </w:tc>
      </w:tr>
      <w:tr w:rsidR="00CE04DC" w:rsidRPr="00321BE4" w14:paraId="0697281D" w14:textId="77777777" w:rsidTr="00FD2373">
        <w:trPr>
          <w:trHeight w:val="20"/>
          <w:jc w:val="center"/>
        </w:trPr>
        <w:tc>
          <w:tcPr>
            <w:tcW w:w="567" w:type="pct"/>
            <w:tcBorders>
              <w:left w:val="nil"/>
            </w:tcBorders>
          </w:tcPr>
          <w:p w14:paraId="4EF1403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WMS5</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183A875B"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 feel close to my child(ren).</w:t>
            </w:r>
          </w:p>
        </w:tc>
        <w:tc>
          <w:tcPr>
            <w:tcW w:w="618" w:type="pct"/>
          </w:tcPr>
          <w:p w14:paraId="1867791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0.729</m:t>
                </m:r>
              </m:oMath>
            </m:oMathPara>
          </w:p>
        </w:tc>
        <w:tc>
          <w:tcPr>
            <w:tcW w:w="683" w:type="pct"/>
            <w:tcBorders>
              <w:right w:val="nil"/>
            </w:tcBorders>
          </w:tcPr>
          <w:p w14:paraId="549C2DD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0.468</m:t>
                </m:r>
              </m:oMath>
            </m:oMathPara>
          </w:p>
        </w:tc>
      </w:tr>
      <w:tr w:rsidR="00CE04DC" w:rsidRPr="00321BE4" w14:paraId="7684F863" w14:textId="77777777" w:rsidTr="00FD2373">
        <w:trPr>
          <w:trHeight w:val="20"/>
          <w:jc w:val="center"/>
        </w:trPr>
        <w:tc>
          <w:tcPr>
            <w:tcW w:w="567" w:type="pct"/>
            <w:tcBorders>
              <w:left w:val="nil"/>
            </w:tcBorders>
          </w:tcPr>
          <w:p w14:paraId="6FEA8AF1"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WMS6</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13E1386A"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 enjoy spending time with my child(ren).</w:t>
            </w:r>
          </w:p>
        </w:tc>
        <w:tc>
          <w:tcPr>
            <w:tcW w:w="618" w:type="pct"/>
          </w:tcPr>
          <w:p w14:paraId="423DED89"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0.887</m:t>
                </m:r>
              </m:oMath>
            </m:oMathPara>
          </w:p>
        </w:tc>
        <w:tc>
          <w:tcPr>
            <w:tcW w:w="683" w:type="pct"/>
            <w:tcBorders>
              <w:right w:val="nil"/>
            </w:tcBorders>
          </w:tcPr>
          <w:p w14:paraId="5CCE6EF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0.212</m:t>
                </m:r>
              </m:oMath>
            </m:oMathPara>
          </w:p>
        </w:tc>
      </w:tr>
      <w:tr w:rsidR="00CE04DC" w:rsidRPr="00321BE4" w14:paraId="03B009F3" w14:textId="77777777" w:rsidTr="00FD2373">
        <w:trPr>
          <w:trHeight w:val="20"/>
          <w:jc w:val="center"/>
        </w:trPr>
        <w:tc>
          <w:tcPr>
            <w:tcW w:w="567" w:type="pct"/>
            <w:tcBorders>
              <w:left w:val="nil"/>
            </w:tcBorders>
          </w:tcPr>
          <w:p w14:paraId="6639E04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WMS7</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555EF15E"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My child(ren) is an important source of affection for me.</w:t>
            </w:r>
          </w:p>
        </w:tc>
        <w:tc>
          <w:tcPr>
            <w:tcW w:w="618" w:type="pct"/>
          </w:tcPr>
          <w:p w14:paraId="365E859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0.728</m:t>
                </m:r>
              </m:oMath>
            </m:oMathPara>
          </w:p>
        </w:tc>
        <w:tc>
          <w:tcPr>
            <w:tcW w:w="683" w:type="pct"/>
            <w:tcBorders>
              <w:right w:val="nil"/>
            </w:tcBorders>
          </w:tcPr>
          <w:p w14:paraId="633858B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0.469</m:t>
                </m:r>
              </m:oMath>
            </m:oMathPara>
          </w:p>
        </w:tc>
      </w:tr>
      <w:tr w:rsidR="00CE04DC" w:rsidRPr="00321BE4" w14:paraId="33CD2F51" w14:textId="77777777" w:rsidTr="00FD2373">
        <w:trPr>
          <w:trHeight w:val="20"/>
          <w:jc w:val="center"/>
        </w:trPr>
        <w:tc>
          <w:tcPr>
            <w:tcW w:w="567" w:type="pct"/>
            <w:tcBorders>
              <w:left w:val="nil"/>
            </w:tcBorders>
          </w:tcPr>
          <w:p w14:paraId="137A5BD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WMS8</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5822E3AF"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Having child(ren) gives me a more certain and optimistic view for the future.</w:t>
            </w:r>
          </w:p>
        </w:tc>
        <w:tc>
          <w:tcPr>
            <w:tcW w:w="618" w:type="pct"/>
          </w:tcPr>
          <w:p w14:paraId="4D85857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0.668</m:t>
                </m:r>
              </m:oMath>
            </m:oMathPara>
          </w:p>
        </w:tc>
        <w:tc>
          <w:tcPr>
            <w:tcW w:w="683" w:type="pct"/>
            <w:tcBorders>
              <w:right w:val="nil"/>
            </w:tcBorders>
          </w:tcPr>
          <w:p w14:paraId="165E1EB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0.552</m:t>
                </m:r>
              </m:oMath>
            </m:oMathPara>
          </w:p>
        </w:tc>
      </w:tr>
      <w:tr w:rsidR="00CE04DC" w:rsidRPr="00321BE4" w14:paraId="4090A92D" w14:textId="77777777" w:rsidTr="00FD2373">
        <w:trPr>
          <w:trHeight w:val="20"/>
          <w:jc w:val="center"/>
        </w:trPr>
        <w:tc>
          <w:tcPr>
            <w:tcW w:w="567" w:type="pct"/>
            <w:tcBorders>
              <w:left w:val="nil"/>
            </w:tcBorders>
          </w:tcPr>
          <w:p w14:paraId="619D124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WMS9</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61D36EE2"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The major source of stress in my life is my child(ren).</w:t>
            </w:r>
          </w:p>
        </w:tc>
        <w:tc>
          <w:tcPr>
            <w:tcW w:w="618" w:type="pct"/>
          </w:tcPr>
          <w:p w14:paraId="0751B15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-0.284</m:t>
                </m:r>
              </m:oMath>
            </m:oMathPara>
          </w:p>
        </w:tc>
        <w:tc>
          <w:tcPr>
            <w:tcW w:w="683" w:type="pct"/>
            <w:tcBorders>
              <w:right w:val="nil"/>
            </w:tcBorders>
          </w:tcPr>
          <w:p w14:paraId="640C226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0.919</m:t>
                </m:r>
              </m:oMath>
            </m:oMathPara>
          </w:p>
        </w:tc>
      </w:tr>
      <w:tr w:rsidR="00CE04DC" w:rsidRPr="00321BE4" w14:paraId="6B951695" w14:textId="77777777" w:rsidTr="00FD2373">
        <w:trPr>
          <w:trHeight w:val="20"/>
          <w:jc w:val="center"/>
        </w:trPr>
        <w:tc>
          <w:tcPr>
            <w:tcW w:w="567" w:type="pct"/>
            <w:tcBorders>
              <w:left w:val="nil"/>
            </w:tcBorders>
          </w:tcPr>
          <w:p w14:paraId="08B7026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WMS10</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6FE5230E"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Having child(ren) leaves little time and flexibility in my life.</w:t>
            </w:r>
          </w:p>
        </w:tc>
        <w:tc>
          <w:tcPr>
            <w:tcW w:w="618" w:type="pct"/>
          </w:tcPr>
          <w:p w14:paraId="447EBBE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-0.102</m:t>
                </m:r>
              </m:oMath>
            </m:oMathPara>
          </w:p>
        </w:tc>
        <w:tc>
          <w:tcPr>
            <w:tcW w:w="683" w:type="pct"/>
            <w:tcBorders>
              <w:right w:val="nil"/>
            </w:tcBorders>
          </w:tcPr>
          <w:p w14:paraId="4CFB9BC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0.990</m:t>
                </m:r>
              </m:oMath>
            </m:oMathPara>
          </w:p>
        </w:tc>
      </w:tr>
      <w:tr w:rsidR="00CE04DC" w:rsidRPr="00321BE4" w14:paraId="57576EC0" w14:textId="77777777" w:rsidTr="00FD2373">
        <w:trPr>
          <w:trHeight w:val="20"/>
          <w:jc w:val="center"/>
        </w:trPr>
        <w:tc>
          <w:tcPr>
            <w:tcW w:w="567" w:type="pct"/>
            <w:tcBorders>
              <w:left w:val="nil"/>
            </w:tcBorders>
          </w:tcPr>
          <w:p w14:paraId="51904FC8"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WMS11</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28519D06"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Having child(ren) has been a financial burden.</w:t>
            </w:r>
          </w:p>
        </w:tc>
        <w:tc>
          <w:tcPr>
            <w:tcW w:w="618" w:type="pct"/>
          </w:tcPr>
          <w:p w14:paraId="5E01C233"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-0.657</m:t>
                </m:r>
              </m:oMath>
            </m:oMathPara>
          </w:p>
        </w:tc>
        <w:tc>
          <w:tcPr>
            <w:tcW w:w="683" w:type="pct"/>
            <w:tcBorders>
              <w:right w:val="nil"/>
            </w:tcBorders>
          </w:tcPr>
          <w:p w14:paraId="04840243"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0.569</m:t>
                </m:r>
              </m:oMath>
            </m:oMathPara>
          </w:p>
        </w:tc>
      </w:tr>
      <w:tr w:rsidR="00CE04DC" w:rsidRPr="00321BE4" w14:paraId="3E0BBDD0" w14:textId="77777777" w:rsidTr="00FD2373">
        <w:trPr>
          <w:trHeight w:val="20"/>
          <w:jc w:val="center"/>
        </w:trPr>
        <w:tc>
          <w:tcPr>
            <w:tcW w:w="567" w:type="pct"/>
            <w:tcBorders>
              <w:left w:val="nil"/>
            </w:tcBorders>
          </w:tcPr>
          <w:p w14:paraId="50408E3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WMS12</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579DE033"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It is difficult to balance different responsibilities because of my child(ren).</w:t>
            </w:r>
          </w:p>
        </w:tc>
        <w:tc>
          <w:tcPr>
            <w:tcW w:w="618" w:type="pct"/>
          </w:tcPr>
          <w:p w14:paraId="5EAEF22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0.025</m:t>
                </m:r>
              </m:oMath>
            </m:oMathPara>
          </w:p>
        </w:tc>
        <w:tc>
          <w:tcPr>
            <w:tcW w:w="683" w:type="pct"/>
            <w:tcBorders>
              <w:right w:val="nil"/>
            </w:tcBorders>
          </w:tcPr>
          <w:p w14:paraId="788C6BAD"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0.999</m:t>
                </m:r>
              </m:oMath>
            </m:oMathPara>
          </w:p>
        </w:tc>
      </w:tr>
      <w:tr w:rsidR="00CE04DC" w:rsidRPr="00321BE4" w14:paraId="40B2982F" w14:textId="77777777" w:rsidTr="00FD2373">
        <w:trPr>
          <w:trHeight w:val="20"/>
          <w:jc w:val="center"/>
        </w:trPr>
        <w:tc>
          <w:tcPr>
            <w:tcW w:w="567" w:type="pct"/>
            <w:tcBorders>
              <w:left w:val="nil"/>
            </w:tcBorders>
          </w:tcPr>
          <w:p w14:paraId="637DB90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WMS13</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6930A4B9"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The behavior of my child(ren) is often embarrassing or stressful to me.</w:t>
            </w:r>
          </w:p>
        </w:tc>
        <w:tc>
          <w:tcPr>
            <w:tcW w:w="618" w:type="pct"/>
          </w:tcPr>
          <w:p w14:paraId="0A2C4339"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-0.126</m:t>
                </m:r>
              </m:oMath>
            </m:oMathPara>
          </w:p>
        </w:tc>
        <w:tc>
          <w:tcPr>
            <w:tcW w:w="683" w:type="pct"/>
            <w:tcBorders>
              <w:right w:val="nil"/>
            </w:tcBorders>
          </w:tcPr>
          <w:p w14:paraId="5F1B986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0.984</m:t>
                </m:r>
              </m:oMath>
            </m:oMathPara>
          </w:p>
        </w:tc>
      </w:tr>
      <w:tr w:rsidR="00CE04DC" w:rsidRPr="00321BE4" w14:paraId="00A7D039" w14:textId="77777777" w:rsidTr="00FD2373">
        <w:trPr>
          <w:trHeight w:val="20"/>
          <w:jc w:val="center"/>
        </w:trPr>
        <w:tc>
          <w:tcPr>
            <w:tcW w:w="567" w:type="pct"/>
            <w:tcBorders>
              <w:left w:val="nil"/>
            </w:tcBorders>
          </w:tcPr>
          <w:p w14:paraId="1E852B1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WMS14</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75D2563C"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If I had it to do over again, I might decide not to have child(ren).</w:t>
            </w:r>
          </w:p>
        </w:tc>
        <w:tc>
          <w:tcPr>
            <w:tcW w:w="618" w:type="pct"/>
          </w:tcPr>
          <w:p w14:paraId="21432FF0"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-0.473</m:t>
                </m:r>
              </m:oMath>
            </m:oMathPara>
          </w:p>
        </w:tc>
        <w:tc>
          <w:tcPr>
            <w:tcW w:w="683" w:type="pct"/>
            <w:tcBorders>
              <w:right w:val="nil"/>
            </w:tcBorders>
          </w:tcPr>
          <w:p w14:paraId="2992D2A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0.777</m:t>
                </m:r>
              </m:oMath>
            </m:oMathPara>
          </w:p>
        </w:tc>
      </w:tr>
      <w:tr w:rsidR="00CE04DC" w:rsidRPr="00321BE4" w14:paraId="7D5B225D" w14:textId="77777777" w:rsidTr="00FD2373">
        <w:trPr>
          <w:trHeight w:val="20"/>
          <w:jc w:val="center"/>
        </w:trPr>
        <w:tc>
          <w:tcPr>
            <w:tcW w:w="567" w:type="pct"/>
            <w:tcBorders>
              <w:left w:val="nil"/>
            </w:tcBorders>
          </w:tcPr>
          <w:p w14:paraId="40EBCAB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WMS15</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30CD78B3"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 feel overwhelmed by the responsibility of being a parent.</w:t>
            </w:r>
          </w:p>
        </w:tc>
        <w:tc>
          <w:tcPr>
            <w:tcW w:w="618" w:type="pct"/>
          </w:tcPr>
          <w:p w14:paraId="559C274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-0.130</m:t>
                </m:r>
              </m:oMath>
            </m:oMathPara>
          </w:p>
        </w:tc>
        <w:tc>
          <w:tcPr>
            <w:tcW w:w="683" w:type="pct"/>
            <w:tcBorders>
              <w:right w:val="nil"/>
            </w:tcBorders>
          </w:tcPr>
          <w:p w14:paraId="629B5D6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0.983</m:t>
                </m:r>
              </m:oMath>
            </m:oMathPara>
          </w:p>
        </w:tc>
      </w:tr>
      <w:tr w:rsidR="00CE04DC" w:rsidRPr="00321BE4" w14:paraId="481ED532" w14:textId="77777777" w:rsidTr="00FD2373">
        <w:trPr>
          <w:trHeight w:val="20"/>
          <w:jc w:val="center"/>
        </w:trPr>
        <w:tc>
          <w:tcPr>
            <w:tcW w:w="567" w:type="pct"/>
            <w:tcBorders>
              <w:left w:val="nil"/>
            </w:tcBorders>
          </w:tcPr>
          <w:p w14:paraId="2C4243D8"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WMS16</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05318B44"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Having child(ren) has meant having too few choices and too little control over my life.</w:t>
            </w:r>
          </w:p>
        </w:tc>
        <w:tc>
          <w:tcPr>
            <w:tcW w:w="618" w:type="pct"/>
          </w:tcPr>
          <w:p w14:paraId="58B8625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-0.174</m:t>
                </m:r>
              </m:oMath>
            </m:oMathPara>
          </w:p>
        </w:tc>
        <w:tc>
          <w:tcPr>
            <w:tcW w:w="683" w:type="pct"/>
            <w:tcBorders>
              <w:right w:val="nil"/>
            </w:tcBorders>
          </w:tcPr>
          <w:p w14:paraId="34A20EC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0.970</m:t>
                </m:r>
              </m:oMath>
            </m:oMathPara>
          </w:p>
        </w:tc>
      </w:tr>
      <w:tr w:rsidR="00CE04DC" w:rsidRPr="00321BE4" w14:paraId="42FF1406" w14:textId="77777777" w:rsidTr="00FD2373">
        <w:trPr>
          <w:trHeight w:val="20"/>
          <w:jc w:val="center"/>
        </w:trPr>
        <w:tc>
          <w:tcPr>
            <w:tcW w:w="567" w:type="pct"/>
            <w:tcBorders>
              <w:left w:val="nil"/>
            </w:tcBorders>
          </w:tcPr>
          <w:p w14:paraId="61E5A94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WMS17</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429B8832"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 am satisfied as a parent.</w:t>
            </w:r>
          </w:p>
        </w:tc>
        <w:tc>
          <w:tcPr>
            <w:tcW w:w="618" w:type="pct"/>
          </w:tcPr>
          <w:p w14:paraId="63C4AE9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0.858</m:t>
                </m:r>
              </m:oMath>
            </m:oMathPara>
          </w:p>
        </w:tc>
        <w:tc>
          <w:tcPr>
            <w:tcW w:w="683" w:type="pct"/>
            <w:tcBorders>
              <w:right w:val="nil"/>
            </w:tcBorders>
          </w:tcPr>
          <w:p w14:paraId="0B6BD60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0.264</m:t>
                </m:r>
              </m:oMath>
            </m:oMathPara>
          </w:p>
        </w:tc>
      </w:tr>
      <w:tr w:rsidR="00CE04DC" w:rsidRPr="00321BE4" w14:paraId="639F8653" w14:textId="77777777" w:rsidTr="00FD2373">
        <w:trPr>
          <w:trHeight w:val="20"/>
          <w:jc w:val="center"/>
        </w:trPr>
        <w:tc>
          <w:tcPr>
            <w:tcW w:w="567" w:type="pct"/>
            <w:tcBorders>
              <w:left w:val="nil"/>
            </w:tcBorders>
          </w:tcPr>
          <w:p w14:paraId="4EB0149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WMS18</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541248E8"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I find my child(ren) enjoyable.</w:t>
            </w:r>
          </w:p>
        </w:tc>
        <w:tc>
          <w:tcPr>
            <w:tcW w:w="618" w:type="pct"/>
          </w:tcPr>
          <w:p w14:paraId="5C83CFA2"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0.813</m:t>
                </m:r>
              </m:oMath>
            </m:oMathPara>
          </w:p>
        </w:tc>
        <w:tc>
          <w:tcPr>
            <w:tcW w:w="683" w:type="pct"/>
            <w:tcBorders>
              <w:right w:val="nil"/>
            </w:tcBorders>
          </w:tcPr>
          <w:p w14:paraId="47C17482"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0.340</m:t>
                </m:r>
              </m:oMath>
            </m:oMathPara>
          </w:p>
        </w:tc>
      </w:tr>
      <w:tr w:rsidR="00CE04DC" w:rsidRPr="00321BE4" w14:paraId="31CA5EDF" w14:textId="77777777" w:rsidTr="00FD2373">
        <w:trPr>
          <w:trHeight w:val="20"/>
          <w:jc w:val="center"/>
        </w:trPr>
        <w:tc>
          <w:tcPr>
            <w:tcW w:w="5000" w:type="pct"/>
            <w:gridSpan w:val="4"/>
            <w:tcBorders>
              <w:left w:val="nil"/>
              <w:right w:val="nil"/>
            </w:tcBorders>
            <w:vAlign w:val="center"/>
          </w:tcPr>
          <w:p w14:paraId="79F11BF4" w14:textId="77777777" w:rsidR="00CE04DC" w:rsidRPr="00321BE4" w:rsidRDefault="00CE04DC" w:rsidP="002F09F0">
            <w:pPr>
              <w:jc w:val="center"/>
              <w:rPr>
                <w:rFonts w:ascii="Times New Roman" w:hAnsi="Times New Roman" w:cs="Times New Roman"/>
                <w:iCs/>
                <w:sz w:val="20"/>
                <w:szCs w:val="20"/>
              </w:rPr>
            </w:pPr>
            <w:r w:rsidRPr="00321BE4">
              <w:rPr>
                <w:rFonts w:ascii="Times New Roman" w:hAnsi="Times New Roman" w:cs="Times New Roman"/>
                <w:b/>
                <w:bCs/>
                <w:sz w:val="20"/>
                <w:szCs w:val="20"/>
              </w:rPr>
              <w:t>Patient Health Questionnaire-9 (PHQ-9)</w:t>
            </w:r>
          </w:p>
        </w:tc>
      </w:tr>
      <w:tr w:rsidR="00CE04DC" w:rsidRPr="00321BE4" w14:paraId="70FC78CC" w14:textId="77777777" w:rsidTr="00FD2373">
        <w:trPr>
          <w:trHeight w:val="20"/>
          <w:jc w:val="center"/>
        </w:trPr>
        <w:tc>
          <w:tcPr>
            <w:tcW w:w="567" w:type="pct"/>
            <w:tcBorders>
              <w:left w:val="nil"/>
            </w:tcBorders>
          </w:tcPr>
          <w:p w14:paraId="3BA654F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PHQ1</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7716A4A1"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Little interest or pleasure in doing things.</w:t>
            </w:r>
          </w:p>
        </w:tc>
        <w:tc>
          <w:tcPr>
            <w:tcW w:w="618" w:type="pct"/>
          </w:tcPr>
          <w:p w14:paraId="3AB69BF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0.642</m:t>
                </m:r>
              </m:oMath>
            </m:oMathPara>
          </w:p>
        </w:tc>
        <w:tc>
          <w:tcPr>
            <w:tcW w:w="683" w:type="pct"/>
            <w:tcBorders>
              <w:right w:val="nil"/>
            </w:tcBorders>
          </w:tcPr>
          <w:p w14:paraId="0A8A26B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0.588</m:t>
                </m:r>
              </m:oMath>
            </m:oMathPara>
          </w:p>
        </w:tc>
      </w:tr>
      <w:tr w:rsidR="00CE04DC" w:rsidRPr="00321BE4" w14:paraId="7A5BC6A8" w14:textId="77777777" w:rsidTr="00FD2373">
        <w:trPr>
          <w:trHeight w:val="20"/>
          <w:jc w:val="center"/>
        </w:trPr>
        <w:tc>
          <w:tcPr>
            <w:tcW w:w="567" w:type="pct"/>
            <w:tcBorders>
              <w:left w:val="nil"/>
            </w:tcBorders>
          </w:tcPr>
          <w:p w14:paraId="20B3120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PHQ2</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10C7BAB7"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Feeling down, depressed, or hopeless.</w:t>
            </w:r>
          </w:p>
        </w:tc>
        <w:tc>
          <w:tcPr>
            <w:tcW w:w="618" w:type="pct"/>
          </w:tcPr>
          <w:p w14:paraId="5952B0F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0.812</m:t>
                </m:r>
              </m:oMath>
            </m:oMathPara>
          </w:p>
        </w:tc>
        <w:tc>
          <w:tcPr>
            <w:tcW w:w="683" w:type="pct"/>
            <w:tcBorders>
              <w:right w:val="nil"/>
            </w:tcBorders>
          </w:tcPr>
          <w:p w14:paraId="545C775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0.342</m:t>
                </m:r>
              </m:oMath>
            </m:oMathPara>
          </w:p>
        </w:tc>
      </w:tr>
      <w:tr w:rsidR="00CE04DC" w:rsidRPr="00321BE4" w14:paraId="1DA3E9B5" w14:textId="77777777" w:rsidTr="00FD2373">
        <w:trPr>
          <w:trHeight w:val="20"/>
          <w:jc w:val="center"/>
        </w:trPr>
        <w:tc>
          <w:tcPr>
            <w:tcW w:w="567" w:type="pct"/>
            <w:tcBorders>
              <w:left w:val="nil"/>
            </w:tcBorders>
          </w:tcPr>
          <w:p w14:paraId="2DE10AC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PHQ3</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2D663AFF"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Trouble falling or staying asleep or sleeping too much.</w:t>
            </w:r>
          </w:p>
        </w:tc>
        <w:tc>
          <w:tcPr>
            <w:tcW w:w="618" w:type="pct"/>
          </w:tcPr>
          <w:p w14:paraId="45F21AE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0.868</m:t>
                </m:r>
              </m:oMath>
            </m:oMathPara>
          </w:p>
        </w:tc>
        <w:tc>
          <w:tcPr>
            <w:tcW w:w="683" w:type="pct"/>
            <w:tcBorders>
              <w:right w:val="nil"/>
            </w:tcBorders>
          </w:tcPr>
          <w:p w14:paraId="73FF210D"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0.248</m:t>
                </m:r>
              </m:oMath>
            </m:oMathPara>
          </w:p>
        </w:tc>
      </w:tr>
      <w:tr w:rsidR="00CE04DC" w:rsidRPr="00321BE4" w14:paraId="79416E2D" w14:textId="77777777" w:rsidTr="00FD2373">
        <w:trPr>
          <w:trHeight w:val="20"/>
          <w:jc w:val="center"/>
        </w:trPr>
        <w:tc>
          <w:tcPr>
            <w:tcW w:w="567" w:type="pct"/>
            <w:tcBorders>
              <w:left w:val="nil"/>
            </w:tcBorders>
          </w:tcPr>
          <w:p w14:paraId="34499381"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PHQ4</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05AC9209"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Feeling tired or having little energy.</w:t>
            </w:r>
          </w:p>
        </w:tc>
        <w:tc>
          <w:tcPr>
            <w:tcW w:w="618" w:type="pct"/>
          </w:tcPr>
          <w:p w14:paraId="486B1266"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0.789</m:t>
                </m:r>
              </m:oMath>
            </m:oMathPara>
          </w:p>
        </w:tc>
        <w:tc>
          <w:tcPr>
            <w:tcW w:w="683" w:type="pct"/>
            <w:tcBorders>
              <w:right w:val="nil"/>
            </w:tcBorders>
          </w:tcPr>
          <w:p w14:paraId="4EADB68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0.378</m:t>
                </m:r>
              </m:oMath>
            </m:oMathPara>
          </w:p>
        </w:tc>
      </w:tr>
      <w:tr w:rsidR="00CE04DC" w:rsidRPr="00321BE4" w14:paraId="524F2EAE" w14:textId="77777777" w:rsidTr="00FD2373">
        <w:trPr>
          <w:trHeight w:val="20"/>
          <w:jc w:val="center"/>
        </w:trPr>
        <w:tc>
          <w:tcPr>
            <w:tcW w:w="567" w:type="pct"/>
            <w:tcBorders>
              <w:left w:val="nil"/>
            </w:tcBorders>
          </w:tcPr>
          <w:p w14:paraId="5E2CB992"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PHQ5</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74D7EE60"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Poor appetite or overeating.</w:t>
            </w:r>
          </w:p>
        </w:tc>
        <w:tc>
          <w:tcPr>
            <w:tcW w:w="618" w:type="pct"/>
          </w:tcPr>
          <w:p w14:paraId="1AE0DF00"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0.789</m:t>
                </m:r>
              </m:oMath>
            </m:oMathPara>
          </w:p>
        </w:tc>
        <w:tc>
          <w:tcPr>
            <w:tcW w:w="683" w:type="pct"/>
            <w:tcBorders>
              <w:right w:val="nil"/>
            </w:tcBorders>
          </w:tcPr>
          <w:p w14:paraId="3FD7BBD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0.377</m:t>
                </m:r>
              </m:oMath>
            </m:oMathPara>
          </w:p>
        </w:tc>
      </w:tr>
      <w:tr w:rsidR="00CE04DC" w:rsidRPr="00321BE4" w14:paraId="4F5F0548" w14:textId="77777777" w:rsidTr="00FD2373">
        <w:trPr>
          <w:trHeight w:val="20"/>
          <w:jc w:val="center"/>
        </w:trPr>
        <w:tc>
          <w:tcPr>
            <w:tcW w:w="567" w:type="pct"/>
            <w:tcBorders>
              <w:left w:val="nil"/>
            </w:tcBorders>
          </w:tcPr>
          <w:p w14:paraId="42BEACC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PHQ6</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27F7AA95"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Feeling bad about yourself - or that you are a failure or have let yourself or your family down.</w:t>
            </w:r>
          </w:p>
        </w:tc>
        <w:tc>
          <w:tcPr>
            <w:tcW w:w="618" w:type="pct"/>
          </w:tcPr>
          <w:p w14:paraId="6357F0D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0.910</m:t>
                </m:r>
              </m:oMath>
            </m:oMathPara>
          </w:p>
        </w:tc>
        <w:tc>
          <w:tcPr>
            <w:tcW w:w="683" w:type="pct"/>
            <w:tcBorders>
              <w:right w:val="nil"/>
            </w:tcBorders>
          </w:tcPr>
          <w:p w14:paraId="3FC04D3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0.173</m:t>
                </m:r>
              </m:oMath>
            </m:oMathPara>
          </w:p>
        </w:tc>
      </w:tr>
      <w:tr w:rsidR="00CE04DC" w:rsidRPr="00321BE4" w14:paraId="5BF07FD3" w14:textId="77777777" w:rsidTr="00FD2373">
        <w:trPr>
          <w:trHeight w:val="20"/>
          <w:jc w:val="center"/>
        </w:trPr>
        <w:tc>
          <w:tcPr>
            <w:tcW w:w="567" w:type="pct"/>
            <w:tcBorders>
              <w:left w:val="nil"/>
            </w:tcBorders>
          </w:tcPr>
          <w:p w14:paraId="0B5A6DE1"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PHQ7</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27361899"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Trouble concentrating on things, such as reading the newspaper or watching television.</w:t>
            </w:r>
          </w:p>
        </w:tc>
        <w:tc>
          <w:tcPr>
            <w:tcW w:w="618" w:type="pct"/>
          </w:tcPr>
          <w:p w14:paraId="615A6079"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0.622</m:t>
                </m:r>
              </m:oMath>
            </m:oMathPara>
          </w:p>
        </w:tc>
        <w:tc>
          <w:tcPr>
            <w:tcW w:w="683" w:type="pct"/>
            <w:tcBorders>
              <w:right w:val="nil"/>
            </w:tcBorders>
          </w:tcPr>
          <w:p w14:paraId="6333F95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0.614</m:t>
                </m:r>
              </m:oMath>
            </m:oMathPara>
          </w:p>
        </w:tc>
      </w:tr>
      <w:tr w:rsidR="00CE04DC" w:rsidRPr="00321BE4" w14:paraId="2D64FC06" w14:textId="77777777" w:rsidTr="00FD2373">
        <w:trPr>
          <w:trHeight w:val="20"/>
          <w:jc w:val="center"/>
        </w:trPr>
        <w:tc>
          <w:tcPr>
            <w:tcW w:w="567" w:type="pct"/>
            <w:tcBorders>
              <w:left w:val="nil"/>
            </w:tcBorders>
          </w:tcPr>
          <w:p w14:paraId="3464B4F8"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PHQ8</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167F567A"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Moving or speaking so slowly that other people could have noticed. Or the opposite - being so fidgety or restless that you have been moving around a lot more than usual.</w:t>
            </w:r>
          </w:p>
        </w:tc>
        <w:tc>
          <w:tcPr>
            <w:tcW w:w="618" w:type="pct"/>
          </w:tcPr>
          <w:p w14:paraId="2E254BA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0.863</m:t>
                </m:r>
              </m:oMath>
            </m:oMathPara>
          </w:p>
        </w:tc>
        <w:tc>
          <w:tcPr>
            <w:tcW w:w="683" w:type="pct"/>
            <w:tcBorders>
              <w:right w:val="nil"/>
            </w:tcBorders>
          </w:tcPr>
          <w:p w14:paraId="67D33A00"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0.255</m:t>
                </m:r>
              </m:oMath>
            </m:oMathPara>
          </w:p>
        </w:tc>
      </w:tr>
      <w:tr w:rsidR="00CE04DC" w:rsidRPr="00321BE4" w14:paraId="7A66A2D6" w14:textId="77777777" w:rsidTr="00FD2373">
        <w:trPr>
          <w:trHeight w:val="20"/>
          <w:jc w:val="center"/>
        </w:trPr>
        <w:tc>
          <w:tcPr>
            <w:tcW w:w="567" w:type="pct"/>
            <w:tcBorders>
              <w:left w:val="nil"/>
            </w:tcBorders>
          </w:tcPr>
          <w:p w14:paraId="16254CD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PHQ9</w:t>
            </w:r>
          </w:p>
        </w:tc>
        <w:tc>
          <w:tcPr>
            <w:tcW w:w="3133" w:type="pct"/>
            <w:tcBorders>
              <w:top w:val="single" w:sz="2" w:space="0" w:color="auto"/>
              <w:left w:val="single" w:sz="6" w:space="0" w:color="auto"/>
              <w:bottom w:val="single" w:sz="6" w:space="0" w:color="auto"/>
              <w:right w:val="single" w:sz="6" w:space="0" w:color="auto"/>
            </w:tcBorders>
            <w:shd w:val="clear" w:color="auto" w:fill="FFFFFF"/>
            <w:vAlign w:val="bottom"/>
          </w:tcPr>
          <w:p w14:paraId="3001CC11"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color w:val="0D0D0D"/>
                <w:sz w:val="20"/>
                <w:szCs w:val="20"/>
              </w:rPr>
              <w:t>Thoughts that you would be better off dead, or of hurting yourself in some way.</w:t>
            </w:r>
          </w:p>
        </w:tc>
        <w:tc>
          <w:tcPr>
            <w:tcW w:w="618" w:type="pct"/>
          </w:tcPr>
          <w:p w14:paraId="4FFE7A99"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0.849</m:t>
                </m:r>
              </m:oMath>
            </m:oMathPara>
          </w:p>
        </w:tc>
        <w:tc>
          <w:tcPr>
            <w:tcW w:w="683" w:type="pct"/>
            <w:tcBorders>
              <w:right w:val="nil"/>
            </w:tcBorders>
          </w:tcPr>
          <w:p w14:paraId="70B211ED"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0.280</m:t>
                </m:r>
              </m:oMath>
            </m:oMathPara>
          </w:p>
        </w:tc>
      </w:tr>
      <w:tr w:rsidR="00CE04DC" w:rsidRPr="00321BE4" w14:paraId="67BE863F" w14:textId="77777777" w:rsidTr="00FD2373">
        <w:trPr>
          <w:trHeight w:val="20"/>
          <w:jc w:val="center"/>
        </w:trPr>
        <w:tc>
          <w:tcPr>
            <w:tcW w:w="5000" w:type="pct"/>
            <w:gridSpan w:val="4"/>
            <w:tcBorders>
              <w:left w:val="nil"/>
              <w:right w:val="nil"/>
            </w:tcBorders>
            <w:vAlign w:val="center"/>
          </w:tcPr>
          <w:p w14:paraId="4E81E1C1" w14:textId="77777777" w:rsidR="00CE04DC" w:rsidRPr="00321BE4" w:rsidRDefault="00CE04DC" w:rsidP="002F09F0">
            <w:pPr>
              <w:jc w:val="center"/>
              <w:rPr>
                <w:rFonts w:ascii="Times New Roman" w:hAnsi="Times New Roman" w:cs="Times New Roman"/>
                <w:b/>
                <w:bCs/>
                <w:iCs/>
                <w:sz w:val="20"/>
                <w:szCs w:val="20"/>
              </w:rPr>
            </w:pPr>
            <w:r w:rsidRPr="00321BE4">
              <w:rPr>
                <w:rFonts w:ascii="Times New Roman" w:hAnsi="Times New Roman" w:cs="Times New Roman"/>
                <w:b/>
                <w:bCs/>
                <w:iCs/>
                <w:sz w:val="20"/>
                <w:szCs w:val="20"/>
              </w:rPr>
              <w:t>Spousal Support Scale (SSS-5)</w:t>
            </w:r>
          </w:p>
        </w:tc>
      </w:tr>
      <w:tr w:rsidR="00CE04DC" w:rsidRPr="00321BE4" w14:paraId="3851E0C8" w14:textId="77777777" w:rsidTr="00FD2373">
        <w:trPr>
          <w:trHeight w:val="20"/>
          <w:jc w:val="center"/>
        </w:trPr>
        <w:tc>
          <w:tcPr>
            <w:tcW w:w="567" w:type="pct"/>
            <w:tcBorders>
              <w:left w:val="nil"/>
            </w:tcBorders>
          </w:tcPr>
          <w:p w14:paraId="133116A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SSS1</w:t>
            </w:r>
          </w:p>
        </w:tc>
        <w:tc>
          <w:tcPr>
            <w:tcW w:w="3133" w:type="pct"/>
          </w:tcPr>
          <w:p w14:paraId="5D3DB5A4" w14:textId="77777777" w:rsidR="00CE04DC" w:rsidRPr="00321BE4" w:rsidRDefault="00CE04DC" w:rsidP="002F09F0">
            <w:pPr>
              <w:rPr>
                <w:rFonts w:ascii="Times New Roman" w:hAnsi="Times New Roman" w:cs="Times New Roman"/>
                <w:sz w:val="20"/>
                <w:szCs w:val="20"/>
              </w:rPr>
            </w:pPr>
            <w:r w:rsidRPr="00321BE4">
              <w:rPr>
                <w:rFonts w:ascii="Times New Roman" w:hAnsi="Times New Roman" w:cs="Times New Roman"/>
                <w:sz w:val="20"/>
                <w:szCs w:val="20"/>
              </w:rPr>
              <w:t>My spouse/partner is supportive of my career/employment</w:t>
            </w:r>
          </w:p>
        </w:tc>
        <w:tc>
          <w:tcPr>
            <w:tcW w:w="618" w:type="pct"/>
          </w:tcPr>
          <w:p w14:paraId="236E334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0.311</m:t>
                </m:r>
              </m:oMath>
            </m:oMathPara>
          </w:p>
        </w:tc>
        <w:tc>
          <w:tcPr>
            <w:tcW w:w="683" w:type="pct"/>
            <w:tcBorders>
              <w:right w:val="nil"/>
            </w:tcBorders>
          </w:tcPr>
          <w:p w14:paraId="55B26823"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0.903</m:t>
                </m:r>
              </m:oMath>
            </m:oMathPara>
          </w:p>
        </w:tc>
      </w:tr>
      <w:tr w:rsidR="00CE04DC" w:rsidRPr="00321BE4" w14:paraId="29C7E930" w14:textId="77777777" w:rsidTr="00FD2373">
        <w:trPr>
          <w:trHeight w:val="20"/>
          <w:jc w:val="center"/>
        </w:trPr>
        <w:tc>
          <w:tcPr>
            <w:tcW w:w="567" w:type="pct"/>
            <w:tcBorders>
              <w:left w:val="nil"/>
            </w:tcBorders>
          </w:tcPr>
          <w:p w14:paraId="382918D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SSS2</w:t>
            </w:r>
          </w:p>
        </w:tc>
        <w:tc>
          <w:tcPr>
            <w:tcW w:w="3133" w:type="pct"/>
          </w:tcPr>
          <w:p w14:paraId="1BABF00A" w14:textId="77777777" w:rsidR="00CE04DC" w:rsidRPr="00321BE4" w:rsidRDefault="00CE04DC" w:rsidP="002F09F0">
            <w:pPr>
              <w:rPr>
                <w:rFonts w:ascii="Times New Roman" w:hAnsi="Times New Roman" w:cs="Times New Roman"/>
                <w:sz w:val="20"/>
                <w:szCs w:val="20"/>
              </w:rPr>
            </w:pPr>
            <w:r w:rsidRPr="00321BE4">
              <w:rPr>
                <w:rFonts w:ascii="Times New Roman" w:hAnsi="Times New Roman" w:cs="Times New Roman"/>
                <w:sz w:val="20"/>
                <w:szCs w:val="20"/>
              </w:rPr>
              <w:t>My spouse/partner shares household responsibilities equally</w:t>
            </w:r>
          </w:p>
        </w:tc>
        <w:tc>
          <w:tcPr>
            <w:tcW w:w="618" w:type="pct"/>
          </w:tcPr>
          <w:p w14:paraId="2E247EF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0.944</m:t>
                </m:r>
              </m:oMath>
            </m:oMathPara>
          </w:p>
        </w:tc>
        <w:tc>
          <w:tcPr>
            <w:tcW w:w="683" w:type="pct"/>
            <w:tcBorders>
              <w:right w:val="nil"/>
            </w:tcBorders>
          </w:tcPr>
          <w:p w14:paraId="49284AB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0.109</m:t>
                </m:r>
              </m:oMath>
            </m:oMathPara>
          </w:p>
        </w:tc>
      </w:tr>
      <w:tr w:rsidR="00CE04DC" w:rsidRPr="00321BE4" w14:paraId="688FA423" w14:textId="77777777" w:rsidTr="00FD2373">
        <w:trPr>
          <w:trHeight w:val="20"/>
          <w:jc w:val="center"/>
        </w:trPr>
        <w:tc>
          <w:tcPr>
            <w:tcW w:w="567" w:type="pct"/>
            <w:tcBorders>
              <w:left w:val="nil"/>
            </w:tcBorders>
          </w:tcPr>
          <w:p w14:paraId="75499693"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SSS3</w:t>
            </w:r>
          </w:p>
        </w:tc>
        <w:tc>
          <w:tcPr>
            <w:tcW w:w="3133" w:type="pct"/>
          </w:tcPr>
          <w:p w14:paraId="232271D3" w14:textId="77777777" w:rsidR="00CE04DC" w:rsidRPr="00321BE4" w:rsidRDefault="00CE04DC" w:rsidP="002F09F0">
            <w:pPr>
              <w:rPr>
                <w:rFonts w:ascii="Times New Roman" w:hAnsi="Times New Roman" w:cs="Times New Roman"/>
                <w:sz w:val="20"/>
                <w:szCs w:val="20"/>
              </w:rPr>
            </w:pPr>
            <w:r w:rsidRPr="00321BE4">
              <w:rPr>
                <w:rFonts w:ascii="Times New Roman" w:hAnsi="Times New Roman" w:cs="Times New Roman"/>
                <w:sz w:val="20"/>
                <w:szCs w:val="20"/>
              </w:rPr>
              <w:t>My spouse/partner is involved in childcare and parenting duties.</w:t>
            </w:r>
          </w:p>
        </w:tc>
        <w:tc>
          <w:tcPr>
            <w:tcW w:w="618" w:type="pct"/>
          </w:tcPr>
          <w:p w14:paraId="7B757F32"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0.959</m:t>
                </m:r>
              </m:oMath>
            </m:oMathPara>
          </w:p>
        </w:tc>
        <w:tc>
          <w:tcPr>
            <w:tcW w:w="683" w:type="pct"/>
            <w:tcBorders>
              <w:right w:val="nil"/>
            </w:tcBorders>
          </w:tcPr>
          <w:p w14:paraId="659D8F4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0.081</m:t>
                </m:r>
              </m:oMath>
            </m:oMathPara>
          </w:p>
        </w:tc>
      </w:tr>
      <w:tr w:rsidR="00CE04DC" w:rsidRPr="00321BE4" w14:paraId="1B6DCB17" w14:textId="77777777" w:rsidTr="00FD2373">
        <w:trPr>
          <w:trHeight w:val="20"/>
          <w:jc w:val="center"/>
        </w:trPr>
        <w:tc>
          <w:tcPr>
            <w:tcW w:w="567" w:type="pct"/>
            <w:tcBorders>
              <w:left w:val="nil"/>
            </w:tcBorders>
          </w:tcPr>
          <w:p w14:paraId="6998B5C5"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SSS4</w:t>
            </w:r>
          </w:p>
        </w:tc>
        <w:tc>
          <w:tcPr>
            <w:tcW w:w="3133" w:type="pct"/>
          </w:tcPr>
          <w:p w14:paraId="2282255A" w14:textId="77777777" w:rsidR="00CE04DC" w:rsidRPr="00321BE4" w:rsidRDefault="00CE04DC" w:rsidP="002F09F0">
            <w:pPr>
              <w:tabs>
                <w:tab w:val="left" w:pos="1788"/>
              </w:tabs>
              <w:rPr>
                <w:rFonts w:ascii="Times New Roman" w:hAnsi="Times New Roman" w:cs="Times New Roman"/>
                <w:sz w:val="20"/>
                <w:szCs w:val="20"/>
              </w:rPr>
            </w:pPr>
            <w:r w:rsidRPr="00321BE4">
              <w:rPr>
                <w:rFonts w:ascii="Times New Roman" w:hAnsi="Times New Roman" w:cs="Times New Roman"/>
                <w:sz w:val="20"/>
                <w:szCs w:val="20"/>
              </w:rPr>
              <w:t>I feel emotionally supported by my spouse/partner</w:t>
            </w:r>
          </w:p>
        </w:tc>
        <w:tc>
          <w:tcPr>
            <w:tcW w:w="618" w:type="pct"/>
          </w:tcPr>
          <w:p w14:paraId="75DFBEE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0.639</m:t>
                </m:r>
              </m:oMath>
            </m:oMathPara>
          </w:p>
        </w:tc>
        <w:tc>
          <w:tcPr>
            <w:tcW w:w="683" w:type="pct"/>
            <w:tcBorders>
              <w:right w:val="nil"/>
            </w:tcBorders>
          </w:tcPr>
          <w:p w14:paraId="23AC135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0.592</m:t>
                </m:r>
              </m:oMath>
            </m:oMathPara>
          </w:p>
        </w:tc>
      </w:tr>
      <w:tr w:rsidR="00CE04DC" w:rsidRPr="00321BE4" w14:paraId="59BA6764" w14:textId="77777777" w:rsidTr="00FD2373">
        <w:trPr>
          <w:trHeight w:val="20"/>
          <w:jc w:val="center"/>
        </w:trPr>
        <w:tc>
          <w:tcPr>
            <w:tcW w:w="567" w:type="pct"/>
            <w:tcBorders>
              <w:left w:val="nil"/>
            </w:tcBorders>
          </w:tcPr>
          <w:p w14:paraId="5E1501D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SSS5</w:t>
            </w:r>
          </w:p>
        </w:tc>
        <w:tc>
          <w:tcPr>
            <w:tcW w:w="3133" w:type="pct"/>
          </w:tcPr>
          <w:p w14:paraId="66F3FF00" w14:textId="77777777" w:rsidR="00CE04DC" w:rsidRPr="00321BE4" w:rsidRDefault="00CE04DC" w:rsidP="002F09F0">
            <w:pPr>
              <w:rPr>
                <w:rFonts w:ascii="Times New Roman" w:hAnsi="Times New Roman" w:cs="Times New Roman"/>
                <w:sz w:val="20"/>
                <w:szCs w:val="20"/>
              </w:rPr>
            </w:pPr>
            <w:r w:rsidRPr="00321BE4">
              <w:rPr>
                <w:rFonts w:ascii="Times New Roman" w:hAnsi="Times New Roman" w:cs="Times New Roman"/>
                <w:sz w:val="20"/>
                <w:szCs w:val="20"/>
              </w:rPr>
              <w:t>My spouse/partner and I communicate effectively about our family and work life</w:t>
            </w:r>
          </w:p>
        </w:tc>
        <w:tc>
          <w:tcPr>
            <w:tcW w:w="618" w:type="pct"/>
          </w:tcPr>
          <w:p w14:paraId="398A8CCD"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0.504</m:t>
                </m:r>
              </m:oMath>
            </m:oMathPara>
          </w:p>
        </w:tc>
        <w:tc>
          <w:tcPr>
            <w:tcW w:w="683" w:type="pct"/>
            <w:tcBorders>
              <w:right w:val="nil"/>
            </w:tcBorders>
          </w:tcPr>
          <w:p w14:paraId="13485A3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0.746</m:t>
                </m:r>
              </m:oMath>
            </m:oMathPara>
          </w:p>
        </w:tc>
      </w:tr>
    </w:tbl>
    <w:p w14:paraId="5F1D5EFD" w14:textId="77777777" w:rsidR="00CE04DC" w:rsidRPr="00321BE4" w:rsidRDefault="00CE04DC" w:rsidP="00CE04DC">
      <w:pPr>
        <w:rPr>
          <w:b/>
          <w:bCs/>
          <w:sz w:val="20"/>
          <w:szCs w:val="20"/>
        </w:rPr>
      </w:pPr>
      <w:bookmarkStart w:id="15" w:name="_Toc166993748"/>
    </w:p>
    <w:p w14:paraId="67BECA24" w14:textId="77777777" w:rsidR="00CE04DC" w:rsidRDefault="00CE04DC" w:rsidP="00CE04DC">
      <w:pPr>
        <w:rPr>
          <w:b/>
          <w:bCs/>
          <w:i/>
          <w:iCs/>
          <w:sz w:val="20"/>
          <w:szCs w:val="20"/>
        </w:rPr>
      </w:pPr>
      <w:r w:rsidRPr="00321BE4">
        <w:rPr>
          <w:b/>
          <w:bCs/>
          <w:i/>
          <w:iCs/>
          <w:sz w:val="20"/>
          <w:szCs w:val="20"/>
        </w:rPr>
        <w:t>Item Response Theory (IRT)</w:t>
      </w:r>
      <w:bookmarkEnd w:id="15"/>
      <w:r w:rsidRPr="00321BE4">
        <w:rPr>
          <w:b/>
          <w:bCs/>
          <w:i/>
          <w:iCs/>
          <w:sz w:val="20"/>
          <w:szCs w:val="20"/>
        </w:rPr>
        <w:t xml:space="preserve"> Analysis</w:t>
      </w:r>
    </w:p>
    <w:p w14:paraId="6F727834" w14:textId="77777777" w:rsidR="00FD2373" w:rsidRPr="00321BE4" w:rsidRDefault="00FD2373" w:rsidP="00CE04DC">
      <w:pPr>
        <w:rPr>
          <w:b/>
          <w:bCs/>
          <w:i/>
          <w:iCs/>
          <w:sz w:val="20"/>
          <w:szCs w:val="20"/>
        </w:rPr>
      </w:pPr>
    </w:p>
    <w:p w14:paraId="1D5DA4AA" w14:textId="77777777" w:rsidR="00CE04DC" w:rsidRPr="00321BE4" w:rsidRDefault="00CE04DC" w:rsidP="00FD2373">
      <w:pPr>
        <w:spacing w:line="324" w:lineRule="auto"/>
        <w:jc w:val="both"/>
        <w:rPr>
          <w:sz w:val="20"/>
          <w:szCs w:val="20"/>
        </w:rPr>
      </w:pPr>
      <w:r w:rsidRPr="00321BE4">
        <w:rPr>
          <w:sz w:val="20"/>
          <w:szCs w:val="20"/>
        </w:rPr>
        <w:t>The Item Response Theory (IRT) analysis used the Graded Response Model (GRM). The IRT analysis of the Working Mother Stress Scale (WMS) highlights significant findings regarding the discriminatory power and difficulty levels of specific items. Items WMS6, WMS17, and WMS18 exhibit high discrimination values (5.28, 5.38, and 4.20, respectively), effectively distinguishing among different levels of working mother stress. These items also exhibit well-spaced difficulty thresholds, confirming their robustness in accurately measuring the stress construct. Conversely, WMS11 and WMS14 show negative discrimination values, indicating potential disagreements of their alignment with working mother stress levels.</w:t>
      </w:r>
    </w:p>
    <w:p w14:paraId="2C82E294" w14:textId="77777777" w:rsidR="00CE04DC" w:rsidRPr="00321BE4" w:rsidRDefault="00CE04DC" w:rsidP="00CE04DC">
      <w:pPr>
        <w:jc w:val="both"/>
        <w:rPr>
          <w:sz w:val="20"/>
          <w:szCs w:val="20"/>
        </w:rPr>
      </w:pPr>
    </w:p>
    <w:p w14:paraId="343B12EB" w14:textId="77777777" w:rsidR="00CE04DC" w:rsidRPr="00321BE4" w:rsidRDefault="00CE04DC" w:rsidP="00FD2373">
      <w:pPr>
        <w:spacing w:line="324" w:lineRule="auto"/>
        <w:jc w:val="both"/>
        <w:rPr>
          <w:sz w:val="20"/>
          <w:szCs w:val="20"/>
        </w:rPr>
      </w:pPr>
      <w:r w:rsidRPr="00321BE4">
        <w:rPr>
          <w:sz w:val="20"/>
          <w:szCs w:val="20"/>
        </w:rPr>
        <w:t xml:space="preserve">Similarly, the GRM analysis of the PHQ1-PHQ9 items shows strong discrimination across all items, suggesting their effectiveness in distinguishing among levels of depression severity. For example, PHQ8 and PHQ9 exhibit higher discrimination values of 5.12 and 5.02, respectively, indicating their strong ability to discriminate between different levels of depression. Regarding difficulty parameters, items like PHQ1 and PHQ2 have lower difficulty parameters for higher levels of depression severity, indicating that respondents are more likely to endorse these items at lower levels of depression. Conversely, items like PHQ3 and PHQ4 have higher difficulty parameters for higher levels of depression, and thus, respondents are less likely to endorse them until experiencing more severe depression symptoms. </w:t>
      </w:r>
    </w:p>
    <w:p w14:paraId="5951A254" w14:textId="77777777" w:rsidR="00CE04DC" w:rsidRPr="00321BE4" w:rsidRDefault="00CE04DC" w:rsidP="00CE04DC">
      <w:pPr>
        <w:jc w:val="both"/>
        <w:rPr>
          <w:sz w:val="20"/>
          <w:szCs w:val="20"/>
        </w:rPr>
      </w:pPr>
    </w:p>
    <w:p w14:paraId="2BCD4C01" w14:textId="77777777" w:rsidR="00CE04DC" w:rsidRPr="00321BE4" w:rsidRDefault="00CE04DC" w:rsidP="00FD2373">
      <w:pPr>
        <w:spacing w:line="324" w:lineRule="auto"/>
        <w:jc w:val="both"/>
        <w:rPr>
          <w:sz w:val="20"/>
          <w:szCs w:val="20"/>
        </w:rPr>
      </w:pPr>
      <w:r w:rsidRPr="00321BE4">
        <w:rPr>
          <w:sz w:val="20"/>
          <w:szCs w:val="20"/>
        </w:rPr>
        <w:t>The GRM analysis of Spousal support reveals the discrimination and difficulty parameters for items SSS2 to SSS5. Discrimination parameters indicate the ability of each item to discriminate between different levels of the latent trait. For instance, SSS2 shows moderate discrimination with a parameter of 6.61. Difficulty parameters show where response categories become more probable along the latent trait continuum [</w:t>
      </w:r>
      <w:r w:rsidRPr="00321BE4">
        <w:rPr>
          <w:b/>
          <w:bCs/>
          <w:sz w:val="20"/>
          <w:szCs w:val="20"/>
        </w:rPr>
        <w:t>Table 3]</w:t>
      </w:r>
      <w:r w:rsidRPr="00321BE4">
        <w:rPr>
          <w:sz w:val="20"/>
          <w:szCs w:val="20"/>
        </w:rPr>
        <w:t>.</w:t>
      </w:r>
    </w:p>
    <w:p w14:paraId="7DE993E2" w14:textId="77777777" w:rsidR="00CE04DC" w:rsidRPr="00321BE4" w:rsidRDefault="00CE04DC" w:rsidP="00CE04DC">
      <w:pPr>
        <w:jc w:val="both"/>
        <w:rPr>
          <w:color w:val="000000" w:themeColor="text1"/>
          <w:sz w:val="20"/>
          <w:szCs w:val="20"/>
        </w:rPr>
      </w:pPr>
    </w:p>
    <w:p w14:paraId="04DB36EC" w14:textId="7B39708F" w:rsidR="00CE04DC" w:rsidRDefault="00CE04DC" w:rsidP="00FD2373">
      <w:pPr>
        <w:pStyle w:val="Caption"/>
        <w:keepNext/>
        <w:spacing w:line="240" w:lineRule="auto"/>
        <w:ind w:left="851" w:hanging="851"/>
        <w:rPr>
          <w:b w:val="0"/>
          <w:bCs w:val="0"/>
          <w:color w:val="000000" w:themeColor="text1"/>
          <w:sz w:val="20"/>
          <w:szCs w:val="20"/>
        </w:rPr>
      </w:pPr>
      <w:bookmarkStart w:id="16" w:name="_Toc166993534"/>
      <w:r w:rsidRPr="00321BE4">
        <w:rPr>
          <w:color w:val="000000" w:themeColor="text1"/>
          <w:sz w:val="20"/>
          <w:szCs w:val="20"/>
        </w:rPr>
        <w:t xml:space="preserve">Table </w:t>
      </w:r>
      <w:r w:rsidRPr="00321BE4">
        <w:rPr>
          <w:b w:val="0"/>
          <w:bCs w:val="0"/>
          <w:i/>
          <w:iCs/>
          <w:color w:val="000000" w:themeColor="text1"/>
          <w:sz w:val="20"/>
          <w:szCs w:val="20"/>
        </w:rPr>
        <w:fldChar w:fldCharType="begin"/>
      </w:r>
      <w:r w:rsidRPr="00321BE4">
        <w:rPr>
          <w:color w:val="000000" w:themeColor="text1"/>
          <w:sz w:val="20"/>
          <w:szCs w:val="20"/>
        </w:rPr>
        <w:instrText xml:space="preserve"> SEQ Table \* ARABIC </w:instrText>
      </w:r>
      <w:r w:rsidRPr="00321BE4">
        <w:rPr>
          <w:b w:val="0"/>
          <w:bCs w:val="0"/>
          <w:i/>
          <w:iCs/>
          <w:color w:val="000000" w:themeColor="text1"/>
          <w:sz w:val="20"/>
          <w:szCs w:val="20"/>
        </w:rPr>
        <w:fldChar w:fldCharType="separate"/>
      </w:r>
      <w:r w:rsidRPr="00321BE4">
        <w:rPr>
          <w:noProof/>
          <w:color w:val="000000" w:themeColor="text1"/>
          <w:sz w:val="20"/>
          <w:szCs w:val="20"/>
        </w:rPr>
        <w:t>3</w:t>
      </w:r>
      <w:r w:rsidRPr="00321BE4">
        <w:rPr>
          <w:b w:val="0"/>
          <w:bCs w:val="0"/>
          <w:i/>
          <w:iCs/>
          <w:color w:val="000000" w:themeColor="text1"/>
          <w:sz w:val="20"/>
          <w:szCs w:val="20"/>
        </w:rPr>
        <w:fldChar w:fldCharType="end"/>
      </w:r>
      <w:r w:rsidR="00FD2373">
        <w:rPr>
          <w:color w:val="000000" w:themeColor="text1"/>
          <w:sz w:val="20"/>
          <w:szCs w:val="20"/>
        </w:rPr>
        <w:t>.</w:t>
      </w:r>
      <w:r w:rsidRPr="00321BE4">
        <w:rPr>
          <w:color w:val="000000" w:themeColor="text1"/>
          <w:sz w:val="20"/>
          <w:szCs w:val="20"/>
        </w:rPr>
        <w:t xml:space="preserve"> </w:t>
      </w:r>
      <w:r w:rsidRPr="00FD2373">
        <w:rPr>
          <w:b w:val="0"/>
          <w:bCs w:val="0"/>
          <w:color w:val="000000" w:themeColor="text1"/>
          <w:sz w:val="20"/>
          <w:szCs w:val="20"/>
        </w:rPr>
        <w:t xml:space="preserve">IRT </w:t>
      </w:r>
      <w:r w:rsidR="00FD2373">
        <w:rPr>
          <w:b w:val="0"/>
          <w:bCs w:val="0"/>
          <w:color w:val="000000" w:themeColor="text1"/>
          <w:sz w:val="20"/>
          <w:szCs w:val="20"/>
        </w:rPr>
        <w:t>A</w:t>
      </w:r>
      <w:r w:rsidRPr="00FD2373">
        <w:rPr>
          <w:b w:val="0"/>
          <w:bCs w:val="0"/>
          <w:color w:val="000000" w:themeColor="text1"/>
          <w:sz w:val="20"/>
          <w:szCs w:val="20"/>
        </w:rPr>
        <w:t xml:space="preserve">nalysis for </w:t>
      </w:r>
      <w:bookmarkEnd w:id="16"/>
      <w:r w:rsidRPr="00FD2373">
        <w:rPr>
          <w:b w:val="0"/>
          <w:bCs w:val="0"/>
          <w:color w:val="000000" w:themeColor="text1"/>
          <w:sz w:val="20"/>
          <w:szCs w:val="20"/>
        </w:rPr>
        <w:t>the Working Mother Stress Scale (WMS-11), Patient Health Questionnaire-9 (PHQ-9) Scale, and Spousal Support Scale (SSS-4)</w:t>
      </w:r>
    </w:p>
    <w:p w14:paraId="49EE18B5" w14:textId="77777777" w:rsidR="00FD2373" w:rsidRPr="00FD2373" w:rsidRDefault="00FD2373" w:rsidP="00FD2373"/>
    <w:tbl>
      <w:tblPr>
        <w:tblStyle w:val="TableGrid"/>
        <w:tblW w:w="7912" w:type="dxa"/>
        <w:jc w:val="center"/>
        <w:tblLook w:val="04A0" w:firstRow="1" w:lastRow="0" w:firstColumn="1" w:lastColumn="0" w:noHBand="0" w:noVBand="1"/>
      </w:tblPr>
      <w:tblGrid>
        <w:gridCol w:w="956"/>
        <w:gridCol w:w="1570"/>
        <w:gridCol w:w="1398"/>
        <w:gridCol w:w="1370"/>
        <w:gridCol w:w="1309"/>
        <w:gridCol w:w="1309"/>
      </w:tblGrid>
      <w:tr w:rsidR="00CE04DC" w:rsidRPr="00321BE4" w14:paraId="3EA5DD98" w14:textId="77777777" w:rsidTr="00FD2373">
        <w:trPr>
          <w:trHeight w:val="145"/>
          <w:jc w:val="center"/>
        </w:trPr>
        <w:tc>
          <w:tcPr>
            <w:tcW w:w="956" w:type="dxa"/>
            <w:tcBorders>
              <w:left w:val="nil"/>
            </w:tcBorders>
            <w:vAlign w:val="bottom"/>
          </w:tcPr>
          <w:p w14:paraId="68D6ABE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Item</w:t>
            </w:r>
          </w:p>
        </w:tc>
        <w:tc>
          <w:tcPr>
            <w:tcW w:w="1570" w:type="dxa"/>
            <w:vAlign w:val="bottom"/>
          </w:tcPr>
          <w:p w14:paraId="0E8E01FC"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Discrimination (a)</w:t>
            </w:r>
          </w:p>
        </w:tc>
        <w:tc>
          <w:tcPr>
            <w:tcW w:w="1398" w:type="dxa"/>
            <w:vAlign w:val="bottom"/>
          </w:tcPr>
          <w:p w14:paraId="78EEC91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Difficulty 1 (b1)</w:t>
            </w:r>
          </w:p>
        </w:tc>
        <w:tc>
          <w:tcPr>
            <w:tcW w:w="1370" w:type="dxa"/>
            <w:vAlign w:val="bottom"/>
          </w:tcPr>
          <w:p w14:paraId="7BA50EBB"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Difficulty 2 (b2)</w:t>
            </w:r>
          </w:p>
        </w:tc>
        <w:tc>
          <w:tcPr>
            <w:tcW w:w="1309" w:type="dxa"/>
            <w:vAlign w:val="bottom"/>
          </w:tcPr>
          <w:p w14:paraId="06330F8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Difficulty 3 (b3)</w:t>
            </w:r>
          </w:p>
        </w:tc>
        <w:tc>
          <w:tcPr>
            <w:tcW w:w="1309" w:type="dxa"/>
            <w:tcBorders>
              <w:right w:val="nil"/>
            </w:tcBorders>
            <w:vAlign w:val="bottom"/>
          </w:tcPr>
          <w:p w14:paraId="6FE8523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Difficulty 4 (b4)</w:t>
            </w:r>
          </w:p>
        </w:tc>
      </w:tr>
      <w:tr w:rsidR="00CE04DC" w:rsidRPr="00321BE4" w14:paraId="3C12BEBE" w14:textId="77777777" w:rsidTr="00FD2373">
        <w:trPr>
          <w:trHeight w:val="145"/>
          <w:jc w:val="center"/>
        </w:trPr>
        <w:tc>
          <w:tcPr>
            <w:tcW w:w="956" w:type="dxa"/>
            <w:tcBorders>
              <w:left w:val="nil"/>
            </w:tcBorders>
            <w:vAlign w:val="bottom"/>
          </w:tcPr>
          <w:p w14:paraId="7C32E842"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w:t>
            </w:r>
          </w:p>
        </w:tc>
        <w:tc>
          <w:tcPr>
            <w:tcW w:w="1570" w:type="dxa"/>
            <w:vAlign w:val="bottom"/>
          </w:tcPr>
          <w:p w14:paraId="4805163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1.74</m:t>
                </m:r>
              </m:oMath>
            </m:oMathPara>
          </w:p>
        </w:tc>
        <w:tc>
          <w:tcPr>
            <w:tcW w:w="1398" w:type="dxa"/>
            <w:vAlign w:val="bottom"/>
          </w:tcPr>
          <w:p w14:paraId="0632786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-2.00</m:t>
                </m:r>
              </m:oMath>
            </m:oMathPara>
          </w:p>
        </w:tc>
        <w:tc>
          <w:tcPr>
            <w:tcW w:w="1370" w:type="dxa"/>
            <w:vAlign w:val="bottom"/>
          </w:tcPr>
          <w:p w14:paraId="5942C0C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-1.72</m:t>
                </m:r>
              </m:oMath>
            </m:oMathPara>
          </w:p>
        </w:tc>
        <w:tc>
          <w:tcPr>
            <w:tcW w:w="1309" w:type="dxa"/>
            <w:vAlign w:val="bottom"/>
          </w:tcPr>
          <w:p w14:paraId="70EA10D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0.25</m:t>
                </m:r>
              </m:oMath>
            </m:oMathPara>
          </w:p>
        </w:tc>
        <w:tc>
          <w:tcPr>
            <w:tcW w:w="1309" w:type="dxa"/>
            <w:tcBorders>
              <w:right w:val="nil"/>
            </w:tcBorders>
            <w:vAlign w:val="bottom"/>
          </w:tcPr>
          <w:p w14:paraId="5E96038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35FC763A" w14:textId="77777777" w:rsidTr="00FD2373">
        <w:trPr>
          <w:trHeight w:val="145"/>
          <w:jc w:val="center"/>
        </w:trPr>
        <w:tc>
          <w:tcPr>
            <w:tcW w:w="956" w:type="dxa"/>
            <w:tcBorders>
              <w:left w:val="nil"/>
            </w:tcBorders>
            <w:vAlign w:val="bottom"/>
          </w:tcPr>
          <w:p w14:paraId="362C514C"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WMS2</w:t>
            </w:r>
          </w:p>
        </w:tc>
        <w:tc>
          <w:tcPr>
            <w:tcW w:w="1570" w:type="dxa"/>
            <w:vAlign w:val="bottom"/>
          </w:tcPr>
          <w:p w14:paraId="5D37950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1.43</m:t>
                </m:r>
              </m:oMath>
            </m:oMathPara>
          </w:p>
        </w:tc>
        <w:tc>
          <w:tcPr>
            <w:tcW w:w="1398" w:type="dxa"/>
            <w:vAlign w:val="bottom"/>
          </w:tcPr>
          <w:p w14:paraId="385CB470"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-3.15</m:t>
                </m:r>
              </m:oMath>
            </m:oMathPara>
          </w:p>
        </w:tc>
        <w:tc>
          <w:tcPr>
            <w:tcW w:w="1370" w:type="dxa"/>
            <w:vAlign w:val="bottom"/>
          </w:tcPr>
          <w:p w14:paraId="5782FB70"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-1.86</m:t>
                </m:r>
              </m:oMath>
            </m:oMathPara>
          </w:p>
        </w:tc>
        <w:tc>
          <w:tcPr>
            <w:tcW w:w="1309" w:type="dxa"/>
            <w:vAlign w:val="bottom"/>
          </w:tcPr>
          <w:p w14:paraId="56F4CDD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0.18</m:t>
                </m:r>
              </m:oMath>
            </m:oMathPara>
          </w:p>
        </w:tc>
        <w:tc>
          <w:tcPr>
            <w:tcW w:w="1309" w:type="dxa"/>
            <w:tcBorders>
              <w:right w:val="nil"/>
            </w:tcBorders>
            <w:vAlign w:val="bottom"/>
          </w:tcPr>
          <w:p w14:paraId="088A200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49A14243" w14:textId="77777777" w:rsidTr="00FD2373">
        <w:trPr>
          <w:trHeight w:val="145"/>
          <w:jc w:val="center"/>
        </w:trPr>
        <w:tc>
          <w:tcPr>
            <w:tcW w:w="956" w:type="dxa"/>
            <w:tcBorders>
              <w:left w:val="nil"/>
            </w:tcBorders>
            <w:vAlign w:val="bottom"/>
          </w:tcPr>
          <w:p w14:paraId="3150714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WMS4</w:t>
            </w:r>
          </w:p>
        </w:tc>
        <w:tc>
          <w:tcPr>
            <w:tcW w:w="1570" w:type="dxa"/>
            <w:vAlign w:val="bottom"/>
          </w:tcPr>
          <w:p w14:paraId="761775D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1.10</m:t>
                </m:r>
              </m:oMath>
            </m:oMathPara>
          </w:p>
        </w:tc>
        <w:tc>
          <w:tcPr>
            <w:tcW w:w="1398" w:type="dxa"/>
            <w:vAlign w:val="bottom"/>
          </w:tcPr>
          <w:p w14:paraId="7D10449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-2.17</m:t>
                </m:r>
              </m:oMath>
            </m:oMathPara>
          </w:p>
        </w:tc>
        <w:tc>
          <w:tcPr>
            <w:tcW w:w="1370" w:type="dxa"/>
            <w:vAlign w:val="bottom"/>
          </w:tcPr>
          <w:p w14:paraId="742366E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-0.61</m:t>
                </m:r>
              </m:oMath>
            </m:oMathPara>
          </w:p>
        </w:tc>
        <w:tc>
          <w:tcPr>
            <w:tcW w:w="1309" w:type="dxa"/>
            <w:vAlign w:val="bottom"/>
          </w:tcPr>
          <w:p w14:paraId="0D30CD32"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1.41</m:t>
                </m:r>
              </m:oMath>
            </m:oMathPara>
          </w:p>
        </w:tc>
        <w:tc>
          <w:tcPr>
            <w:tcW w:w="1309" w:type="dxa"/>
            <w:tcBorders>
              <w:right w:val="nil"/>
            </w:tcBorders>
            <w:vAlign w:val="bottom"/>
          </w:tcPr>
          <w:p w14:paraId="243CC012"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52457FF2" w14:textId="77777777" w:rsidTr="00FD2373">
        <w:trPr>
          <w:trHeight w:val="145"/>
          <w:jc w:val="center"/>
        </w:trPr>
        <w:tc>
          <w:tcPr>
            <w:tcW w:w="956" w:type="dxa"/>
            <w:tcBorders>
              <w:left w:val="nil"/>
            </w:tcBorders>
            <w:vAlign w:val="bottom"/>
          </w:tcPr>
          <w:p w14:paraId="4A77E85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WMS5</w:t>
            </w:r>
          </w:p>
        </w:tc>
        <w:tc>
          <w:tcPr>
            <w:tcW w:w="1570" w:type="dxa"/>
            <w:vAlign w:val="bottom"/>
          </w:tcPr>
          <w:p w14:paraId="751A4AC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3.91</m:t>
                </m:r>
              </m:oMath>
            </m:oMathPara>
          </w:p>
        </w:tc>
        <w:tc>
          <w:tcPr>
            <w:tcW w:w="1398" w:type="dxa"/>
            <w:vAlign w:val="bottom"/>
          </w:tcPr>
          <w:p w14:paraId="0CB43620"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-1.81</m:t>
                </m:r>
              </m:oMath>
            </m:oMathPara>
          </w:p>
        </w:tc>
        <w:tc>
          <w:tcPr>
            <w:tcW w:w="1370" w:type="dxa"/>
            <w:vAlign w:val="bottom"/>
          </w:tcPr>
          <w:p w14:paraId="788D1E26"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-1.28</m:t>
                </m:r>
              </m:oMath>
            </m:oMathPara>
          </w:p>
        </w:tc>
        <w:tc>
          <w:tcPr>
            <w:tcW w:w="1309" w:type="dxa"/>
            <w:vAlign w:val="bottom"/>
          </w:tcPr>
          <w:p w14:paraId="58CA7E4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-0.003</m:t>
                </m:r>
              </m:oMath>
            </m:oMathPara>
          </w:p>
        </w:tc>
        <w:tc>
          <w:tcPr>
            <w:tcW w:w="1309" w:type="dxa"/>
            <w:tcBorders>
              <w:right w:val="nil"/>
            </w:tcBorders>
            <w:vAlign w:val="bottom"/>
          </w:tcPr>
          <w:p w14:paraId="6B5C62C1"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3CD8972C" w14:textId="77777777" w:rsidTr="00FD2373">
        <w:trPr>
          <w:trHeight w:val="145"/>
          <w:jc w:val="center"/>
        </w:trPr>
        <w:tc>
          <w:tcPr>
            <w:tcW w:w="956" w:type="dxa"/>
            <w:tcBorders>
              <w:left w:val="nil"/>
            </w:tcBorders>
            <w:vAlign w:val="bottom"/>
          </w:tcPr>
          <w:p w14:paraId="4F4A4E3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WMS6</w:t>
            </w:r>
          </w:p>
        </w:tc>
        <w:tc>
          <w:tcPr>
            <w:tcW w:w="1570" w:type="dxa"/>
            <w:vAlign w:val="bottom"/>
          </w:tcPr>
          <w:p w14:paraId="70A8668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5.28</m:t>
                </m:r>
              </m:oMath>
            </m:oMathPara>
          </w:p>
        </w:tc>
        <w:tc>
          <w:tcPr>
            <w:tcW w:w="1398" w:type="dxa"/>
            <w:vAlign w:val="bottom"/>
          </w:tcPr>
          <w:p w14:paraId="077155B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-2.06</m:t>
                </m:r>
              </m:oMath>
            </m:oMathPara>
          </w:p>
        </w:tc>
        <w:tc>
          <w:tcPr>
            <w:tcW w:w="1370" w:type="dxa"/>
            <w:vAlign w:val="bottom"/>
          </w:tcPr>
          <w:p w14:paraId="21F2ABF2"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-1.77</m:t>
                </m:r>
              </m:oMath>
            </m:oMathPara>
          </w:p>
        </w:tc>
        <w:tc>
          <w:tcPr>
            <w:tcW w:w="1309" w:type="dxa"/>
            <w:vAlign w:val="bottom"/>
          </w:tcPr>
          <w:p w14:paraId="75BB218D"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-1.21</m:t>
                </m:r>
              </m:oMath>
            </m:oMathPara>
          </w:p>
        </w:tc>
        <w:tc>
          <w:tcPr>
            <w:tcW w:w="1309" w:type="dxa"/>
            <w:tcBorders>
              <w:right w:val="nil"/>
            </w:tcBorders>
            <w:vAlign w:val="bottom"/>
          </w:tcPr>
          <w:p w14:paraId="270318BB" w14:textId="77777777" w:rsidR="00CE04DC" w:rsidRPr="00321BE4" w:rsidRDefault="00CE04DC" w:rsidP="002F09F0">
            <w:pPr>
              <w:jc w:val="center"/>
              <w:rPr>
                <w:rFonts w:ascii="Times New Roman" w:hAnsi="Times New Roman" w:cs="Times New Roman"/>
                <w:iCs/>
                <w:sz w:val="20"/>
                <w:szCs w:val="20"/>
              </w:rPr>
            </w:pPr>
            <m:oMath>
              <m:r>
                <w:rPr>
                  <w:rFonts w:ascii="Cambria Math" w:hAnsi="Cambria Math" w:cs="Times New Roman"/>
                  <w:sz w:val="20"/>
                  <w:szCs w:val="20"/>
                </w:rPr>
                <m:t>-</m:t>
              </m:r>
            </m:oMath>
            <w:r w:rsidRPr="00321BE4">
              <w:rPr>
                <w:rFonts w:ascii="Times New Roman" w:hAnsi="Times New Roman" w:cs="Times New Roman"/>
                <w:iCs/>
                <w:sz w:val="20"/>
                <w:szCs w:val="20"/>
              </w:rPr>
              <w:t>0.13</w:t>
            </w:r>
          </w:p>
        </w:tc>
      </w:tr>
      <w:tr w:rsidR="00CE04DC" w:rsidRPr="00321BE4" w14:paraId="727FCB8F" w14:textId="77777777" w:rsidTr="00FD2373">
        <w:trPr>
          <w:trHeight w:val="145"/>
          <w:jc w:val="center"/>
        </w:trPr>
        <w:tc>
          <w:tcPr>
            <w:tcW w:w="956" w:type="dxa"/>
            <w:tcBorders>
              <w:left w:val="nil"/>
            </w:tcBorders>
            <w:vAlign w:val="bottom"/>
          </w:tcPr>
          <w:p w14:paraId="5C2C59A2"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WMS7</w:t>
            </w:r>
          </w:p>
        </w:tc>
        <w:tc>
          <w:tcPr>
            <w:tcW w:w="1570" w:type="dxa"/>
            <w:vAlign w:val="bottom"/>
          </w:tcPr>
          <w:p w14:paraId="2C779636"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2.98</m:t>
                </m:r>
              </m:oMath>
            </m:oMathPara>
          </w:p>
        </w:tc>
        <w:tc>
          <w:tcPr>
            <w:tcW w:w="1398" w:type="dxa"/>
            <w:vAlign w:val="bottom"/>
          </w:tcPr>
          <w:p w14:paraId="02CA60D9"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-1.93</m:t>
                </m:r>
              </m:oMath>
            </m:oMathPara>
          </w:p>
        </w:tc>
        <w:tc>
          <w:tcPr>
            <w:tcW w:w="1370" w:type="dxa"/>
            <w:vAlign w:val="bottom"/>
          </w:tcPr>
          <w:p w14:paraId="28F2266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-1.14</m:t>
                </m:r>
              </m:oMath>
            </m:oMathPara>
          </w:p>
        </w:tc>
        <w:tc>
          <w:tcPr>
            <w:tcW w:w="1309" w:type="dxa"/>
            <w:vAlign w:val="bottom"/>
          </w:tcPr>
          <w:p w14:paraId="6CB7C80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-0.07</m:t>
                </m:r>
              </m:oMath>
            </m:oMathPara>
          </w:p>
        </w:tc>
        <w:tc>
          <w:tcPr>
            <w:tcW w:w="1309" w:type="dxa"/>
            <w:tcBorders>
              <w:right w:val="nil"/>
            </w:tcBorders>
            <w:vAlign w:val="bottom"/>
          </w:tcPr>
          <w:p w14:paraId="6182D059" w14:textId="77777777" w:rsidR="00CE04DC" w:rsidRPr="00321BE4" w:rsidRDefault="00CE04DC" w:rsidP="002F09F0">
            <w:pPr>
              <w:jc w:val="center"/>
              <w:rPr>
                <w:rFonts w:ascii="Times New Roman" w:hAnsi="Times New Roman" w:cs="Times New Roman"/>
                <w:iCs/>
                <w:sz w:val="20"/>
                <w:szCs w:val="20"/>
              </w:rPr>
            </w:pPr>
            <w:r w:rsidRPr="00321BE4">
              <w:rPr>
                <w:rFonts w:ascii="Times New Roman" w:hAnsi="Times New Roman" w:cs="Times New Roman"/>
                <w:iCs/>
                <w:sz w:val="20"/>
                <w:szCs w:val="20"/>
              </w:rPr>
              <w:t>-</w:t>
            </w:r>
          </w:p>
        </w:tc>
      </w:tr>
      <w:tr w:rsidR="00CE04DC" w:rsidRPr="00321BE4" w14:paraId="6ED3B736" w14:textId="77777777" w:rsidTr="00FD2373">
        <w:trPr>
          <w:trHeight w:val="145"/>
          <w:jc w:val="center"/>
        </w:trPr>
        <w:tc>
          <w:tcPr>
            <w:tcW w:w="956" w:type="dxa"/>
            <w:tcBorders>
              <w:left w:val="nil"/>
            </w:tcBorders>
            <w:vAlign w:val="bottom"/>
          </w:tcPr>
          <w:p w14:paraId="2BB1160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WMS8</w:t>
            </w:r>
          </w:p>
        </w:tc>
        <w:tc>
          <w:tcPr>
            <w:tcW w:w="1570" w:type="dxa"/>
            <w:vAlign w:val="bottom"/>
          </w:tcPr>
          <w:p w14:paraId="43A5CAF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1.75</m:t>
                </m:r>
              </m:oMath>
            </m:oMathPara>
          </w:p>
        </w:tc>
        <w:tc>
          <w:tcPr>
            <w:tcW w:w="1398" w:type="dxa"/>
            <w:vAlign w:val="bottom"/>
          </w:tcPr>
          <w:p w14:paraId="4A67BB0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-1.96</m:t>
                </m:r>
              </m:oMath>
            </m:oMathPara>
          </w:p>
        </w:tc>
        <w:tc>
          <w:tcPr>
            <w:tcW w:w="1370" w:type="dxa"/>
            <w:vAlign w:val="bottom"/>
          </w:tcPr>
          <w:p w14:paraId="087E9A7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-0.82</m:t>
                </m:r>
              </m:oMath>
            </m:oMathPara>
          </w:p>
        </w:tc>
        <w:tc>
          <w:tcPr>
            <w:tcW w:w="1309" w:type="dxa"/>
            <w:vAlign w:val="bottom"/>
          </w:tcPr>
          <w:p w14:paraId="7BF987E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0.40</m:t>
                </m:r>
              </m:oMath>
            </m:oMathPara>
          </w:p>
        </w:tc>
        <w:tc>
          <w:tcPr>
            <w:tcW w:w="1309" w:type="dxa"/>
            <w:tcBorders>
              <w:right w:val="nil"/>
            </w:tcBorders>
            <w:vAlign w:val="bottom"/>
          </w:tcPr>
          <w:p w14:paraId="2EE052C2" w14:textId="77777777" w:rsidR="00CE04DC" w:rsidRPr="00321BE4" w:rsidRDefault="00CE04DC" w:rsidP="002F09F0">
            <w:pPr>
              <w:jc w:val="center"/>
              <w:rPr>
                <w:rFonts w:ascii="Times New Roman" w:hAnsi="Times New Roman" w:cs="Times New Roman"/>
                <w:iCs/>
                <w:sz w:val="20"/>
                <w:szCs w:val="20"/>
              </w:rPr>
            </w:pPr>
            <w:r w:rsidRPr="00321BE4">
              <w:rPr>
                <w:rFonts w:ascii="Times New Roman" w:hAnsi="Times New Roman" w:cs="Times New Roman"/>
                <w:iCs/>
                <w:sz w:val="20"/>
                <w:szCs w:val="20"/>
              </w:rPr>
              <w:t>-</w:t>
            </w:r>
          </w:p>
        </w:tc>
      </w:tr>
      <w:tr w:rsidR="00CE04DC" w:rsidRPr="00321BE4" w14:paraId="043270BC" w14:textId="77777777" w:rsidTr="00FD2373">
        <w:trPr>
          <w:trHeight w:val="145"/>
          <w:jc w:val="center"/>
        </w:trPr>
        <w:tc>
          <w:tcPr>
            <w:tcW w:w="956" w:type="dxa"/>
            <w:tcBorders>
              <w:left w:val="nil"/>
            </w:tcBorders>
            <w:vAlign w:val="bottom"/>
          </w:tcPr>
          <w:p w14:paraId="4B28918C"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WMS11</w:t>
            </w:r>
          </w:p>
        </w:tc>
        <w:tc>
          <w:tcPr>
            <w:tcW w:w="1570" w:type="dxa"/>
            <w:vAlign w:val="bottom"/>
          </w:tcPr>
          <w:p w14:paraId="6E64764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-1.32</m:t>
                </m:r>
              </m:oMath>
            </m:oMathPara>
          </w:p>
        </w:tc>
        <w:tc>
          <w:tcPr>
            <w:tcW w:w="1398" w:type="dxa"/>
            <w:vAlign w:val="bottom"/>
          </w:tcPr>
          <w:p w14:paraId="1F1B955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-0.23</m:t>
                </m:r>
              </m:oMath>
            </m:oMathPara>
          </w:p>
        </w:tc>
        <w:tc>
          <w:tcPr>
            <w:tcW w:w="1370" w:type="dxa"/>
            <w:vAlign w:val="bottom"/>
          </w:tcPr>
          <w:p w14:paraId="003DAA3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-2.25</m:t>
                </m:r>
              </m:oMath>
            </m:oMathPara>
          </w:p>
        </w:tc>
        <w:tc>
          <w:tcPr>
            <w:tcW w:w="1309" w:type="dxa"/>
            <w:vAlign w:val="bottom"/>
          </w:tcPr>
          <w:p w14:paraId="58B6BD0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-2.62</m:t>
                </m:r>
              </m:oMath>
            </m:oMathPara>
          </w:p>
        </w:tc>
        <w:tc>
          <w:tcPr>
            <w:tcW w:w="1309" w:type="dxa"/>
            <w:tcBorders>
              <w:right w:val="nil"/>
            </w:tcBorders>
            <w:vAlign w:val="bottom"/>
          </w:tcPr>
          <w:p w14:paraId="757E2A87" w14:textId="77777777" w:rsidR="00CE04DC" w:rsidRPr="00321BE4" w:rsidRDefault="00CE04DC" w:rsidP="002F09F0">
            <w:pPr>
              <w:jc w:val="center"/>
              <w:rPr>
                <w:rFonts w:ascii="Times New Roman" w:hAnsi="Times New Roman" w:cs="Times New Roman"/>
                <w:iCs/>
                <w:sz w:val="20"/>
                <w:szCs w:val="20"/>
              </w:rPr>
            </w:pPr>
            <m:oMathPara>
              <m:oMath>
                <m:r>
                  <w:rPr>
                    <w:rFonts w:ascii="Cambria Math" w:hAnsi="Cambria Math" w:cs="Times New Roman"/>
                    <w:sz w:val="20"/>
                    <w:szCs w:val="20"/>
                  </w:rPr>
                  <m:t>-3.16</m:t>
                </m:r>
              </m:oMath>
            </m:oMathPara>
          </w:p>
        </w:tc>
      </w:tr>
      <w:tr w:rsidR="00CE04DC" w:rsidRPr="00321BE4" w14:paraId="0601166B" w14:textId="77777777" w:rsidTr="00FD2373">
        <w:trPr>
          <w:trHeight w:val="145"/>
          <w:jc w:val="center"/>
        </w:trPr>
        <w:tc>
          <w:tcPr>
            <w:tcW w:w="956" w:type="dxa"/>
            <w:tcBorders>
              <w:left w:val="nil"/>
            </w:tcBorders>
            <w:vAlign w:val="bottom"/>
          </w:tcPr>
          <w:p w14:paraId="1E1BA12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WMS14</w:t>
            </w:r>
          </w:p>
        </w:tc>
        <w:tc>
          <w:tcPr>
            <w:tcW w:w="1570" w:type="dxa"/>
            <w:vAlign w:val="bottom"/>
          </w:tcPr>
          <w:p w14:paraId="2502529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-1.28</m:t>
                </m:r>
              </m:oMath>
            </m:oMathPara>
          </w:p>
        </w:tc>
        <w:tc>
          <w:tcPr>
            <w:tcW w:w="1398" w:type="dxa"/>
            <w:vAlign w:val="bottom"/>
          </w:tcPr>
          <w:p w14:paraId="652793F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-0.71</m:t>
                </m:r>
              </m:oMath>
            </m:oMathPara>
          </w:p>
        </w:tc>
        <w:tc>
          <w:tcPr>
            <w:tcW w:w="1370" w:type="dxa"/>
            <w:vAlign w:val="bottom"/>
          </w:tcPr>
          <w:p w14:paraId="3A646983"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-2.04</m:t>
                </m:r>
              </m:oMath>
            </m:oMathPara>
          </w:p>
        </w:tc>
        <w:tc>
          <w:tcPr>
            <w:tcW w:w="1309" w:type="dxa"/>
            <w:vAlign w:val="bottom"/>
          </w:tcPr>
          <w:p w14:paraId="393086F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-2.50</m:t>
                </m:r>
              </m:oMath>
            </m:oMathPara>
          </w:p>
        </w:tc>
        <w:tc>
          <w:tcPr>
            <w:tcW w:w="1309" w:type="dxa"/>
            <w:tcBorders>
              <w:right w:val="nil"/>
            </w:tcBorders>
            <w:vAlign w:val="bottom"/>
          </w:tcPr>
          <w:p w14:paraId="15B6199B" w14:textId="77777777" w:rsidR="00CE04DC" w:rsidRPr="00321BE4" w:rsidRDefault="00CE04DC" w:rsidP="002F09F0">
            <w:pPr>
              <w:jc w:val="center"/>
              <w:rPr>
                <w:rFonts w:ascii="Times New Roman" w:hAnsi="Times New Roman" w:cs="Times New Roman"/>
                <w:iCs/>
                <w:sz w:val="20"/>
                <w:szCs w:val="20"/>
              </w:rPr>
            </w:pPr>
            <m:oMath>
              <m:r>
                <w:rPr>
                  <w:rFonts w:ascii="Cambria Math" w:hAnsi="Cambria Math" w:cs="Times New Roman"/>
                  <w:sz w:val="20"/>
                  <w:szCs w:val="20"/>
                </w:rPr>
                <m:t>-</m:t>
              </m:r>
            </m:oMath>
            <w:r w:rsidRPr="00321BE4">
              <w:rPr>
                <w:rFonts w:ascii="Times New Roman" w:hAnsi="Times New Roman" w:cs="Times New Roman"/>
                <w:iCs/>
                <w:sz w:val="20"/>
                <w:szCs w:val="20"/>
              </w:rPr>
              <w:t>3.28</w:t>
            </w:r>
          </w:p>
        </w:tc>
      </w:tr>
      <w:tr w:rsidR="00CE04DC" w:rsidRPr="00321BE4" w14:paraId="160D401E" w14:textId="77777777" w:rsidTr="00FD2373">
        <w:trPr>
          <w:trHeight w:val="145"/>
          <w:jc w:val="center"/>
        </w:trPr>
        <w:tc>
          <w:tcPr>
            <w:tcW w:w="956" w:type="dxa"/>
            <w:tcBorders>
              <w:left w:val="nil"/>
            </w:tcBorders>
            <w:vAlign w:val="bottom"/>
          </w:tcPr>
          <w:p w14:paraId="72C5C8C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WMS17</w:t>
            </w:r>
          </w:p>
        </w:tc>
        <w:tc>
          <w:tcPr>
            <w:tcW w:w="1570" w:type="dxa"/>
            <w:vAlign w:val="bottom"/>
          </w:tcPr>
          <w:p w14:paraId="28B5810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5.38</m:t>
                </m:r>
              </m:oMath>
            </m:oMathPara>
          </w:p>
        </w:tc>
        <w:tc>
          <w:tcPr>
            <w:tcW w:w="1398" w:type="dxa"/>
            <w:vAlign w:val="bottom"/>
          </w:tcPr>
          <w:p w14:paraId="562466B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-2.03</m:t>
                </m:r>
              </m:oMath>
            </m:oMathPara>
          </w:p>
        </w:tc>
        <w:tc>
          <w:tcPr>
            <w:tcW w:w="1370" w:type="dxa"/>
            <w:vAlign w:val="bottom"/>
          </w:tcPr>
          <w:p w14:paraId="4D85BE5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-1.54</m:t>
                </m:r>
              </m:oMath>
            </m:oMathPara>
          </w:p>
        </w:tc>
        <w:tc>
          <w:tcPr>
            <w:tcW w:w="1309" w:type="dxa"/>
            <w:vAlign w:val="bottom"/>
          </w:tcPr>
          <w:p w14:paraId="1EE4087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-1.17</m:t>
                </m:r>
              </m:oMath>
            </m:oMathPara>
          </w:p>
        </w:tc>
        <w:tc>
          <w:tcPr>
            <w:tcW w:w="1309" w:type="dxa"/>
            <w:tcBorders>
              <w:right w:val="nil"/>
            </w:tcBorders>
            <w:vAlign w:val="bottom"/>
          </w:tcPr>
          <w:p w14:paraId="2D25968C" w14:textId="77777777" w:rsidR="00CE04DC" w:rsidRPr="00321BE4" w:rsidRDefault="00CE04DC" w:rsidP="002F09F0">
            <w:pPr>
              <w:jc w:val="center"/>
              <w:rPr>
                <w:rFonts w:ascii="Times New Roman" w:hAnsi="Times New Roman" w:cs="Times New Roman"/>
                <w:iCs/>
                <w:sz w:val="20"/>
                <w:szCs w:val="20"/>
              </w:rPr>
            </w:pPr>
            <w:r w:rsidRPr="00321BE4">
              <w:rPr>
                <w:rFonts w:ascii="Times New Roman" w:hAnsi="Times New Roman" w:cs="Times New Roman"/>
                <w:iCs/>
                <w:sz w:val="20"/>
                <w:szCs w:val="20"/>
              </w:rPr>
              <w:t>0.61</w:t>
            </w:r>
          </w:p>
        </w:tc>
      </w:tr>
      <w:tr w:rsidR="00CE04DC" w:rsidRPr="00321BE4" w14:paraId="12DDAE2A" w14:textId="77777777" w:rsidTr="00FD2373">
        <w:trPr>
          <w:trHeight w:val="145"/>
          <w:jc w:val="center"/>
        </w:trPr>
        <w:tc>
          <w:tcPr>
            <w:tcW w:w="956" w:type="dxa"/>
            <w:tcBorders>
              <w:left w:val="nil"/>
            </w:tcBorders>
            <w:vAlign w:val="bottom"/>
          </w:tcPr>
          <w:p w14:paraId="15618EC6"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WMS18</w:t>
            </w:r>
          </w:p>
        </w:tc>
        <w:tc>
          <w:tcPr>
            <w:tcW w:w="1570" w:type="dxa"/>
            <w:vAlign w:val="bottom"/>
          </w:tcPr>
          <w:p w14:paraId="5AAF0D8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4.20</m:t>
                </m:r>
              </m:oMath>
            </m:oMathPara>
          </w:p>
        </w:tc>
        <w:tc>
          <w:tcPr>
            <w:tcW w:w="1398" w:type="dxa"/>
            <w:vAlign w:val="bottom"/>
          </w:tcPr>
          <w:p w14:paraId="08A6FED0"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-2.15</m:t>
                </m:r>
              </m:oMath>
            </m:oMathPara>
          </w:p>
        </w:tc>
        <w:tc>
          <w:tcPr>
            <w:tcW w:w="1370" w:type="dxa"/>
            <w:vAlign w:val="bottom"/>
          </w:tcPr>
          <w:p w14:paraId="098A345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-1.79</m:t>
                </m:r>
              </m:oMath>
            </m:oMathPara>
          </w:p>
        </w:tc>
        <w:tc>
          <w:tcPr>
            <w:tcW w:w="1309" w:type="dxa"/>
            <w:vAlign w:val="bottom"/>
          </w:tcPr>
          <w:p w14:paraId="160627ED"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-1.28</m:t>
                </m:r>
              </m:oMath>
            </m:oMathPara>
          </w:p>
        </w:tc>
        <w:tc>
          <w:tcPr>
            <w:tcW w:w="1309" w:type="dxa"/>
            <w:tcBorders>
              <w:right w:val="nil"/>
            </w:tcBorders>
            <w:vAlign w:val="bottom"/>
          </w:tcPr>
          <w:p w14:paraId="0536656D" w14:textId="77777777" w:rsidR="00CE04DC" w:rsidRPr="00321BE4" w:rsidRDefault="00CE04DC" w:rsidP="002F09F0">
            <w:pPr>
              <w:jc w:val="center"/>
              <w:rPr>
                <w:rFonts w:ascii="Times New Roman" w:hAnsi="Times New Roman" w:cs="Times New Roman"/>
                <w:iCs/>
                <w:sz w:val="20"/>
                <w:szCs w:val="20"/>
              </w:rPr>
            </w:pPr>
            <w:r w:rsidRPr="00321BE4">
              <w:rPr>
                <w:rFonts w:ascii="Times New Roman" w:hAnsi="Times New Roman" w:cs="Times New Roman"/>
                <w:iCs/>
                <w:sz w:val="20"/>
                <w:szCs w:val="20"/>
              </w:rPr>
              <w:t>0.17</w:t>
            </w:r>
          </w:p>
        </w:tc>
      </w:tr>
      <w:tr w:rsidR="00CE04DC" w:rsidRPr="00321BE4" w14:paraId="484FE757" w14:textId="77777777" w:rsidTr="00FD2373">
        <w:trPr>
          <w:trHeight w:val="145"/>
          <w:jc w:val="center"/>
        </w:trPr>
        <w:tc>
          <w:tcPr>
            <w:tcW w:w="956" w:type="dxa"/>
            <w:tcBorders>
              <w:top w:val="single" w:sz="6" w:space="0" w:color="auto"/>
              <w:left w:val="nil"/>
              <w:bottom w:val="single" w:sz="6" w:space="0" w:color="auto"/>
              <w:right w:val="single" w:sz="2" w:space="0" w:color="auto"/>
            </w:tcBorders>
            <w:shd w:val="clear" w:color="auto" w:fill="FFFFFF"/>
            <w:vAlign w:val="bottom"/>
          </w:tcPr>
          <w:p w14:paraId="5D6F3123"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Item</w:t>
            </w:r>
          </w:p>
        </w:tc>
        <w:tc>
          <w:tcPr>
            <w:tcW w:w="1570" w:type="dxa"/>
            <w:tcBorders>
              <w:top w:val="single" w:sz="6" w:space="0" w:color="auto"/>
              <w:left w:val="single" w:sz="6" w:space="0" w:color="auto"/>
              <w:bottom w:val="single" w:sz="6" w:space="0" w:color="auto"/>
              <w:right w:val="single" w:sz="2" w:space="0" w:color="auto"/>
            </w:tcBorders>
            <w:shd w:val="clear" w:color="auto" w:fill="FFFFFF"/>
            <w:vAlign w:val="bottom"/>
          </w:tcPr>
          <w:p w14:paraId="0DBCE82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Discrimination (a)</w:t>
            </w:r>
          </w:p>
        </w:tc>
        <w:tc>
          <w:tcPr>
            <w:tcW w:w="1398" w:type="dxa"/>
            <w:tcBorders>
              <w:top w:val="single" w:sz="6" w:space="0" w:color="auto"/>
              <w:left w:val="single" w:sz="6" w:space="0" w:color="auto"/>
              <w:bottom w:val="single" w:sz="6" w:space="0" w:color="auto"/>
              <w:right w:val="single" w:sz="2" w:space="0" w:color="auto"/>
            </w:tcBorders>
            <w:shd w:val="clear" w:color="auto" w:fill="FFFFFF"/>
            <w:vAlign w:val="bottom"/>
          </w:tcPr>
          <w:p w14:paraId="2323E5BC"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Difficulty &gt;=1</w:t>
            </w:r>
          </w:p>
        </w:tc>
        <w:tc>
          <w:tcPr>
            <w:tcW w:w="1370" w:type="dxa"/>
            <w:tcBorders>
              <w:top w:val="single" w:sz="6" w:space="0" w:color="auto"/>
              <w:left w:val="single" w:sz="6" w:space="0" w:color="auto"/>
              <w:bottom w:val="single" w:sz="6" w:space="0" w:color="auto"/>
              <w:right w:val="single" w:sz="2" w:space="0" w:color="auto"/>
            </w:tcBorders>
            <w:shd w:val="clear" w:color="auto" w:fill="FFFFFF"/>
            <w:vAlign w:val="bottom"/>
          </w:tcPr>
          <w:p w14:paraId="3331198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Difficulty &gt;=2</w:t>
            </w:r>
          </w:p>
        </w:tc>
        <w:tc>
          <w:tcPr>
            <w:tcW w:w="1309" w:type="dxa"/>
            <w:tcBorders>
              <w:top w:val="single" w:sz="6" w:space="0" w:color="auto"/>
              <w:left w:val="single" w:sz="6" w:space="0" w:color="auto"/>
              <w:bottom w:val="single" w:sz="6" w:space="0" w:color="auto"/>
              <w:right w:val="single" w:sz="6" w:space="0" w:color="auto"/>
            </w:tcBorders>
            <w:shd w:val="clear" w:color="auto" w:fill="FFFFFF"/>
            <w:vAlign w:val="bottom"/>
          </w:tcPr>
          <w:p w14:paraId="7DAD9E78"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Difficulty =3</w:t>
            </w:r>
          </w:p>
        </w:tc>
        <w:tc>
          <w:tcPr>
            <w:tcW w:w="1309" w:type="dxa"/>
            <w:tcBorders>
              <w:right w:val="nil"/>
            </w:tcBorders>
            <w:vAlign w:val="bottom"/>
          </w:tcPr>
          <w:p w14:paraId="08A54B8C"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6ED6259C" w14:textId="77777777" w:rsidTr="00FD2373">
        <w:trPr>
          <w:trHeight w:val="145"/>
          <w:jc w:val="center"/>
        </w:trPr>
        <w:tc>
          <w:tcPr>
            <w:tcW w:w="956" w:type="dxa"/>
            <w:tcBorders>
              <w:left w:val="nil"/>
            </w:tcBorders>
            <w:vAlign w:val="bottom"/>
          </w:tcPr>
          <w:p w14:paraId="3C6AD843"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PHQ1</w:t>
            </w:r>
          </w:p>
        </w:tc>
        <w:tc>
          <w:tcPr>
            <w:tcW w:w="1570" w:type="dxa"/>
            <w:vAlign w:val="bottom"/>
          </w:tcPr>
          <w:p w14:paraId="69F74C2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2.18</m:t>
                </m:r>
              </m:oMath>
            </m:oMathPara>
          </w:p>
        </w:tc>
        <w:tc>
          <w:tcPr>
            <w:tcW w:w="1398" w:type="dxa"/>
            <w:vAlign w:val="bottom"/>
          </w:tcPr>
          <w:p w14:paraId="4F30FE0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-0.92</m:t>
                </m:r>
              </m:oMath>
            </m:oMathPara>
          </w:p>
        </w:tc>
        <w:tc>
          <w:tcPr>
            <w:tcW w:w="1370" w:type="dxa"/>
            <w:vAlign w:val="bottom"/>
          </w:tcPr>
          <w:p w14:paraId="258F5E6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0.63</m:t>
                </m:r>
              </m:oMath>
            </m:oMathPara>
          </w:p>
        </w:tc>
        <w:tc>
          <w:tcPr>
            <w:tcW w:w="1309" w:type="dxa"/>
            <w:vAlign w:val="bottom"/>
          </w:tcPr>
          <w:p w14:paraId="0824ED1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1.08</m:t>
                </m:r>
              </m:oMath>
            </m:oMathPara>
          </w:p>
        </w:tc>
        <w:tc>
          <w:tcPr>
            <w:tcW w:w="1309" w:type="dxa"/>
            <w:tcBorders>
              <w:right w:val="nil"/>
            </w:tcBorders>
            <w:vAlign w:val="bottom"/>
          </w:tcPr>
          <w:p w14:paraId="0BA9094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47D2B518" w14:textId="77777777" w:rsidTr="00FD2373">
        <w:trPr>
          <w:trHeight w:val="145"/>
          <w:jc w:val="center"/>
        </w:trPr>
        <w:tc>
          <w:tcPr>
            <w:tcW w:w="956" w:type="dxa"/>
            <w:tcBorders>
              <w:left w:val="nil"/>
            </w:tcBorders>
            <w:vAlign w:val="bottom"/>
          </w:tcPr>
          <w:p w14:paraId="286DC7B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PHQ2</w:t>
            </w:r>
          </w:p>
        </w:tc>
        <w:tc>
          <w:tcPr>
            <w:tcW w:w="1570" w:type="dxa"/>
            <w:vAlign w:val="bottom"/>
          </w:tcPr>
          <w:p w14:paraId="169261B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3.16</m:t>
                </m:r>
              </m:oMath>
            </m:oMathPara>
          </w:p>
        </w:tc>
        <w:tc>
          <w:tcPr>
            <w:tcW w:w="1398" w:type="dxa"/>
            <w:vAlign w:val="bottom"/>
          </w:tcPr>
          <w:p w14:paraId="08BB547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-0.57</m:t>
                </m:r>
              </m:oMath>
            </m:oMathPara>
          </w:p>
        </w:tc>
        <w:tc>
          <w:tcPr>
            <w:tcW w:w="1370" w:type="dxa"/>
            <w:vAlign w:val="bottom"/>
          </w:tcPr>
          <w:p w14:paraId="15A5234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0.52</m:t>
                </m:r>
              </m:oMath>
            </m:oMathPara>
          </w:p>
        </w:tc>
        <w:tc>
          <w:tcPr>
            <w:tcW w:w="1309" w:type="dxa"/>
            <w:vAlign w:val="bottom"/>
          </w:tcPr>
          <w:p w14:paraId="7B47AC9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1.03</m:t>
                </m:r>
              </m:oMath>
            </m:oMathPara>
          </w:p>
        </w:tc>
        <w:tc>
          <w:tcPr>
            <w:tcW w:w="1309" w:type="dxa"/>
            <w:tcBorders>
              <w:right w:val="nil"/>
            </w:tcBorders>
          </w:tcPr>
          <w:p w14:paraId="07B50D7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08E38135" w14:textId="77777777" w:rsidTr="00FD2373">
        <w:trPr>
          <w:trHeight w:val="145"/>
          <w:jc w:val="center"/>
        </w:trPr>
        <w:tc>
          <w:tcPr>
            <w:tcW w:w="956" w:type="dxa"/>
            <w:tcBorders>
              <w:left w:val="nil"/>
            </w:tcBorders>
            <w:vAlign w:val="bottom"/>
          </w:tcPr>
          <w:p w14:paraId="797A4743"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PHQ3</w:t>
            </w:r>
          </w:p>
        </w:tc>
        <w:tc>
          <w:tcPr>
            <w:tcW w:w="1570" w:type="dxa"/>
            <w:vAlign w:val="bottom"/>
          </w:tcPr>
          <w:p w14:paraId="630CC49B"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2.83</m:t>
                </m:r>
              </m:oMath>
            </m:oMathPara>
          </w:p>
        </w:tc>
        <w:tc>
          <w:tcPr>
            <w:tcW w:w="1398" w:type="dxa"/>
            <w:vAlign w:val="bottom"/>
          </w:tcPr>
          <w:p w14:paraId="7BDF647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-1.66</m:t>
                </m:r>
              </m:oMath>
            </m:oMathPara>
          </w:p>
        </w:tc>
        <w:tc>
          <w:tcPr>
            <w:tcW w:w="1370" w:type="dxa"/>
            <w:vAlign w:val="bottom"/>
          </w:tcPr>
          <w:p w14:paraId="441E3A97"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0.28</m:t>
                </m:r>
              </m:oMath>
            </m:oMathPara>
          </w:p>
        </w:tc>
        <w:tc>
          <w:tcPr>
            <w:tcW w:w="1309" w:type="dxa"/>
            <w:vAlign w:val="bottom"/>
          </w:tcPr>
          <w:p w14:paraId="56BA9B6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1.07</m:t>
                </m:r>
              </m:oMath>
            </m:oMathPara>
          </w:p>
        </w:tc>
        <w:tc>
          <w:tcPr>
            <w:tcW w:w="1309" w:type="dxa"/>
            <w:tcBorders>
              <w:right w:val="nil"/>
            </w:tcBorders>
          </w:tcPr>
          <w:p w14:paraId="4FE7C0F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722D44C5" w14:textId="77777777" w:rsidTr="00FD2373">
        <w:trPr>
          <w:trHeight w:val="145"/>
          <w:jc w:val="center"/>
        </w:trPr>
        <w:tc>
          <w:tcPr>
            <w:tcW w:w="956" w:type="dxa"/>
            <w:tcBorders>
              <w:left w:val="nil"/>
            </w:tcBorders>
            <w:vAlign w:val="bottom"/>
          </w:tcPr>
          <w:p w14:paraId="1AE072D2"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PHQ4</w:t>
            </w:r>
          </w:p>
        </w:tc>
        <w:tc>
          <w:tcPr>
            <w:tcW w:w="1570" w:type="dxa"/>
            <w:vAlign w:val="bottom"/>
          </w:tcPr>
          <w:p w14:paraId="2FA1AE5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2.04</m:t>
                </m:r>
              </m:oMath>
            </m:oMathPara>
          </w:p>
        </w:tc>
        <w:tc>
          <w:tcPr>
            <w:tcW w:w="1398" w:type="dxa"/>
            <w:vAlign w:val="bottom"/>
          </w:tcPr>
          <w:p w14:paraId="68AA277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-1.71</m:t>
                </m:r>
              </m:oMath>
            </m:oMathPara>
          </w:p>
        </w:tc>
        <w:tc>
          <w:tcPr>
            <w:tcW w:w="1370" w:type="dxa"/>
            <w:vAlign w:val="bottom"/>
          </w:tcPr>
          <w:p w14:paraId="62B883E6"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0.38</m:t>
                </m:r>
              </m:oMath>
            </m:oMathPara>
          </w:p>
        </w:tc>
        <w:tc>
          <w:tcPr>
            <w:tcW w:w="1309" w:type="dxa"/>
            <w:vAlign w:val="bottom"/>
          </w:tcPr>
          <w:p w14:paraId="5BA90AE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0.57</m:t>
                </m:r>
              </m:oMath>
            </m:oMathPara>
          </w:p>
        </w:tc>
        <w:tc>
          <w:tcPr>
            <w:tcW w:w="1309" w:type="dxa"/>
            <w:tcBorders>
              <w:right w:val="nil"/>
            </w:tcBorders>
          </w:tcPr>
          <w:p w14:paraId="7F1560B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5009C05F" w14:textId="77777777" w:rsidTr="00FD2373">
        <w:trPr>
          <w:trHeight w:val="145"/>
          <w:jc w:val="center"/>
        </w:trPr>
        <w:tc>
          <w:tcPr>
            <w:tcW w:w="956" w:type="dxa"/>
            <w:tcBorders>
              <w:left w:val="nil"/>
            </w:tcBorders>
            <w:vAlign w:val="bottom"/>
          </w:tcPr>
          <w:p w14:paraId="4DB41B33"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PHQ5</w:t>
            </w:r>
          </w:p>
        </w:tc>
        <w:tc>
          <w:tcPr>
            <w:tcW w:w="1570" w:type="dxa"/>
            <w:vAlign w:val="bottom"/>
          </w:tcPr>
          <w:p w14:paraId="1184411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2.39</m:t>
                </m:r>
              </m:oMath>
            </m:oMathPara>
          </w:p>
        </w:tc>
        <w:tc>
          <w:tcPr>
            <w:tcW w:w="1398" w:type="dxa"/>
            <w:vAlign w:val="bottom"/>
          </w:tcPr>
          <w:p w14:paraId="19C1760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-0.70</m:t>
                </m:r>
              </m:oMath>
            </m:oMathPara>
          </w:p>
        </w:tc>
        <w:tc>
          <w:tcPr>
            <w:tcW w:w="1370" w:type="dxa"/>
            <w:vAlign w:val="bottom"/>
          </w:tcPr>
          <w:p w14:paraId="2DD9DB9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0.58</m:t>
                </m:r>
              </m:oMath>
            </m:oMathPara>
          </w:p>
        </w:tc>
        <w:tc>
          <w:tcPr>
            <w:tcW w:w="1309" w:type="dxa"/>
            <w:vAlign w:val="bottom"/>
          </w:tcPr>
          <w:p w14:paraId="19CACD2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1.20</m:t>
                </m:r>
              </m:oMath>
            </m:oMathPara>
          </w:p>
        </w:tc>
        <w:tc>
          <w:tcPr>
            <w:tcW w:w="1309" w:type="dxa"/>
            <w:tcBorders>
              <w:right w:val="nil"/>
            </w:tcBorders>
          </w:tcPr>
          <w:p w14:paraId="142E51E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00BBA4F1" w14:textId="77777777" w:rsidTr="00FD2373">
        <w:trPr>
          <w:trHeight w:val="145"/>
          <w:jc w:val="center"/>
        </w:trPr>
        <w:tc>
          <w:tcPr>
            <w:tcW w:w="956" w:type="dxa"/>
            <w:tcBorders>
              <w:left w:val="nil"/>
            </w:tcBorders>
            <w:vAlign w:val="bottom"/>
          </w:tcPr>
          <w:p w14:paraId="2125DD1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PHQ6</w:t>
            </w:r>
          </w:p>
        </w:tc>
        <w:tc>
          <w:tcPr>
            <w:tcW w:w="1570" w:type="dxa"/>
            <w:vAlign w:val="bottom"/>
          </w:tcPr>
          <w:p w14:paraId="449FC0B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3.69</m:t>
                </m:r>
              </m:oMath>
            </m:oMathPara>
          </w:p>
        </w:tc>
        <w:tc>
          <w:tcPr>
            <w:tcW w:w="1398" w:type="dxa"/>
            <w:vAlign w:val="bottom"/>
          </w:tcPr>
          <w:p w14:paraId="3FB185B3"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-0.30</m:t>
                </m:r>
              </m:oMath>
            </m:oMathPara>
          </w:p>
        </w:tc>
        <w:tc>
          <w:tcPr>
            <w:tcW w:w="1370" w:type="dxa"/>
            <w:vAlign w:val="bottom"/>
          </w:tcPr>
          <w:p w14:paraId="1862ED9C"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0.53</m:t>
                </m:r>
              </m:oMath>
            </m:oMathPara>
          </w:p>
        </w:tc>
        <w:tc>
          <w:tcPr>
            <w:tcW w:w="1309" w:type="dxa"/>
            <w:vAlign w:val="bottom"/>
          </w:tcPr>
          <w:p w14:paraId="26423B63"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0.82</m:t>
                </m:r>
              </m:oMath>
            </m:oMathPara>
          </w:p>
        </w:tc>
        <w:tc>
          <w:tcPr>
            <w:tcW w:w="1309" w:type="dxa"/>
            <w:tcBorders>
              <w:right w:val="nil"/>
            </w:tcBorders>
          </w:tcPr>
          <w:p w14:paraId="55ED03E7"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7DA16A03" w14:textId="77777777" w:rsidTr="00FD2373">
        <w:trPr>
          <w:trHeight w:val="145"/>
          <w:jc w:val="center"/>
        </w:trPr>
        <w:tc>
          <w:tcPr>
            <w:tcW w:w="956" w:type="dxa"/>
            <w:tcBorders>
              <w:left w:val="nil"/>
            </w:tcBorders>
            <w:vAlign w:val="bottom"/>
          </w:tcPr>
          <w:p w14:paraId="39B353D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PHQ7</w:t>
            </w:r>
          </w:p>
        </w:tc>
        <w:tc>
          <w:tcPr>
            <w:tcW w:w="1570" w:type="dxa"/>
            <w:vAlign w:val="bottom"/>
          </w:tcPr>
          <w:p w14:paraId="2FA54CD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1.65</m:t>
                </m:r>
              </m:oMath>
            </m:oMathPara>
          </w:p>
        </w:tc>
        <w:tc>
          <w:tcPr>
            <w:tcW w:w="1398" w:type="dxa"/>
            <w:vAlign w:val="bottom"/>
          </w:tcPr>
          <w:p w14:paraId="73815CD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-0.44</m:t>
                </m:r>
              </m:oMath>
            </m:oMathPara>
          </w:p>
        </w:tc>
        <w:tc>
          <w:tcPr>
            <w:tcW w:w="1370" w:type="dxa"/>
            <w:vAlign w:val="bottom"/>
          </w:tcPr>
          <w:p w14:paraId="44D4BA84"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0.54</m:t>
                </m:r>
              </m:oMath>
            </m:oMathPara>
          </w:p>
        </w:tc>
        <w:tc>
          <w:tcPr>
            <w:tcW w:w="1309" w:type="dxa"/>
            <w:vAlign w:val="bottom"/>
          </w:tcPr>
          <w:p w14:paraId="30043C2F"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1.13</m:t>
                </m:r>
              </m:oMath>
            </m:oMathPara>
          </w:p>
        </w:tc>
        <w:tc>
          <w:tcPr>
            <w:tcW w:w="1309" w:type="dxa"/>
            <w:tcBorders>
              <w:right w:val="nil"/>
            </w:tcBorders>
          </w:tcPr>
          <w:p w14:paraId="2D85B5E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140E9C0C" w14:textId="77777777" w:rsidTr="00FD2373">
        <w:trPr>
          <w:trHeight w:val="145"/>
          <w:jc w:val="center"/>
        </w:trPr>
        <w:tc>
          <w:tcPr>
            <w:tcW w:w="956" w:type="dxa"/>
            <w:tcBorders>
              <w:left w:val="nil"/>
            </w:tcBorders>
            <w:vAlign w:val="bottom"/>
          </w:tcPr>
          <w:p w14:paraId="346CED47"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PHQ8</w:t>
            </w:r>
          </w:p>
        </w:tc>
        <w:tc>
          <w:tcPr>
            <w:tcW w:w="1570" w:type="dxa"/>
            <w:vAlign w:val="bottom"/>
          </w:tcPr>
          <w:p w14:paraId="51D77DC1"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5.12</m:t>
                </m:r>
              </m:oMath>
            </m:oMathPara>
          </w:p>
        </w:tc>
        <w:tc>
          <w:tcPr>
            <w:tcW w:w="1398" w:type="dxa"/>
            <w:vAlign w:val="bottom"/>
          </w:tcPr>
          <w:p w14:paraId="53004175"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-0.15</m:t>
                </m:r>
              </m:oMath>
            </m:oMathPara>
          </w:p>
        </w:tc>
        <w:tc>
          <w:tcPr>
            <w:tcW w:w="1370" w:type="dxa"/>
            <w:vAlign w:val="bottom"/>
          </w:tcPr>
          <w:p w14:paraId="4BDC185E"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0.76</m:t>
                </m:r>
              </m:oMath>
            </m:oMathPara>
          </w:p>
        </w:tc>
        <w:tc>
          <w:tcPr>
            <w:tcW w:w="1309" w:type="dxa"/>
            <w:vAlign w:val="bottom"/>
          </w:tcPr>
          <w:p w14:paraId="559FB972"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1.03</m:t>
                </m:r>
              </m:oMath>
            </m:oMathPara>
          </w:p>
        </w:tc>
        <w:tc>
          <w:tcPr>
            <w:tcW w:w="1309" w:type="dxa"/>
            <w:tcBorders>
              <w:right w:val="nil"/>
            </w:tcBorders>
          </w:tcPr>
          <w:p w14:paraId="6B9A2872"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2B182ABA" w14:textId="77777777" w:rsidTr="00FD2373">
        <w:trPr>
          <w:trHeight w:val="145"/>
          <w:jc w:val="center"/>
        </w:trPr>
        <w:tc>
          <w:tcPr>
            <w:tcW w:w="956" w:type="dxa"/>
            <w:tcBorders>
              <w:left w:val="nil"/>
            </w:tcBorders>
            <w:vAlign w:val="bottom"/>
          </w:tcPr>
          <w:p w14:paraId="0F852AF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PHQ9</w:t>
            </w:r>
          </w:p>
        </w:tc>
        <w:tc>
          <w:tcPr>
            <w:tcW w:w="1570" w:type="dxa"/>
            <w:vAlign w:val="bottom"/>
          </w:tcPr>
          <w:p w14:paraId="02CD03F8"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5.02</m:t>
                </m:r>
              </m:oMath>
            </m:oMathPara>
          </w:p>
        </w:tc>
        <w:tc>
          <w:tcPr>
            <w:tcW w:w="1398" w:type="dxa"/>
            <w:vAlign w:val="bottom"/>
          </w:tcPr>
          <w:p w14:paraId="0E1DFF36"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-0.03</m:t>
                </m:r>
              </m:oMath>
            </m:oMathPara>
          </w:p>
        </w:tc>
        <w:tc>
          <w:tcPr>
            <w:tcW w:w="1370" w:type="dxa"/>
            <w:vAlign w:val="bottom"/>
          </w:tcPr>
          <w:p w14:paraId="2FD4845A"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0.80</m:t>
                </m:r>
              </m:oMath>
            </m:oMathPara>
          </w:p>
        </w:tc>
        <w:tc>
          <w:tcPr>
            <w:tcW w:w="1309" w:type="dxa"/>
            <w:vAlign w:val="bottom"/>
          </w:tcPr>
          <w:p w14:paraId="06E630FD" w14:textId="77777777" w:rsidR="00CE04DC" w:rsidRPr="00321BE4" w:rsidRDefault="00CE04DC" w:rsidP="002F09F0">
            <w:pPr>
              <w:jc w:val="center"/>
              <w:rPr>
                <w:rFonts w:ascii="Cambria Math" w:hAnsi="Cambria Math" w:cs="Times New Roman"/>
                <w:sz w:val="20"/>
                <w:szCs w:val="20"/>
                <w:oMath/>
              </w:rPr>
            </w:pPr>
            <m:oMathPara>
              <m:oMath>
                <m:r>
                  <w:rPr>
                    <w:rFonts w:ascii="Cambria Math" w:hAnsi="Cambria Math" w:cs="Times New Roman"/>
                    <w:sz w:val="20"/>
                    <w:szCs w:val="20"/>
                  </w:rPr>
                  <m:t>1.19</m:t>
                </m:r>
              </m:oMath>
            </m:oMathPara>
          </w:p>
        </w:tc>
        <w:tc>
          <w:tcPr>
            <w:tcW w:w="1309" w:type="dxa"/>
            <w:tcBorders>
              <w:right w:val="nil"/>
            </w:tcBorders>
          </w:tcPr>
          <w:p w14:paraId="47F2078B"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20ADB375" w14:textId="77777777" w:rsidTr="00FD2373">
        <w:trPr>
          <w:trHeight w:val="145"/>
          <w:jc w:val="center"/>
        </w:trPr>
        <w:tc>
          <w:tcPr>
            <w:tcW w:w="956" w:type="dxa"/>
            <w:tcBorders>
              <w:left w:val="nil"/>
            </w:tcBorders>
            <w:vAlign w:val="bottom"/>
          </w:tcPr>
          <w:p w14:paraId="592BE322"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Item</w:t>
            </w:r>
          </w:p>
        </w:tc>
        <w:tc>
          <w:tcPr>
            <w:tcW w:w="1570" w:type="dxa"/>
            <w:vAlign w:val="bottom"/>
          </w:tcPr>
          <w:p w14:paraId="03B566B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Discrimination</w:t>
            </w:r>
          </w:p>
        </w:tc>
        <w:tc>
          <w:tcPr>
            <w:tcW w:w="1398" w:type="dxa"/>
            <w:vAlign w:val="bottom"/>
          </w:tcPr>
          <w:p w14:paraId="613272BD"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 &gt;=2</w:t>
            </w:r>
          </w:p>
        </w:tc>
        <w:tc>
          <w:tcPr>
            <w:tcW w:w="1370" w:type="dxa"/>
            <w:vAlign w:val="bottom"/>
          </w:tcPr>
          <w:p w14:paraId="6768AAF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 &gt;=3</w:t>
            </w:r>
          </w:p>
        </w:tc>
        <w:tc>
          <w:tcPr>
            <w:tcW w:w="1309" w:type="dxa"/>
            <w:vAlign w:val="bottom"/>
          </w:tcPr>
          <w:p w14:paraId="35733AD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b/>
                <w:bCs/>
                <w:sz w:val="20"/>
                <w:szCs w:val="20"/>
              </w:rPr>
              <w:t>Diff &gt;=4</w:t>
            </w:r>
          </w:p>
        </w:tc>
        <w:tc>
          <w:tcPr>
            <w:tcW w:w="1309" w:type="dxa"/>
            <w:tcBorders>
              <w:right w:val="nil"/>
            </w:tcBorders>
          </w:tcPr>
          <w:p w14:paraId="20A62387"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37267004" w14:textId="77777777" w:rsidTr="00FD2373">
        <w:trPr>
          <w:trHeight w:val="145"/>
          <w:jc w:val="center"/>
        </w:trPr>
        <w:tc>
          <w:tcPr>
            <w:tcW w:w="956" w:type="dxa"/>
            <w:tcBorders>
              <w:left w:val="nil"/>
            </w:tcBorders>
            <w:vAlign w:val="bottom"/>
          </w:tcPr>
          <w:p w14:paraId="42CA58E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SSS2</w:t>
            </w:r>
          </w:p>
        </w:tc>
        <w:tc>
          <w:tcPr>
            <w:tcW w:w="1570" w:type="dxa"/>
            <w:vAlign w:val="bottom"/>
          </w:tcPr>
          <w:p w14:paraId="67C2A2F6"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6.61</w:t>
            </w:r>
          </w:p>
        </w:tc>
        <w:tc>
          <w:tcPr>
            <w:tcW w:w="1398" w:type="dxa"/>
            <w:vAlign w:val="bottom"/>
          </w:tcPr>
          <w:p w14:paraId="30F2A4EA"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-1.49</w:t>
            </w:r>
          </w:p>
        </w:tc>
        <w:tc>
          <w:tcPr>
            <w:tcW w:w="1370" w:type="dxa"/>
            <w:vAlign w:val="bottom"/>
          </w:tcPr>
          <w:p w14:paraId="67AD6DE9"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-1.02</w:t>
            </w:r>
          </w:p>
        </w:tc>
        <w:tc>
          <w:tcPr>
            <w:tcW w:w="1309" w:type="dxa"/>
            <w:vAlign w:val="bottom"/>
          </w:tcPr>
          <w:p w14:paraId="035E79BC" w14:textId="77777777" w:rsidR="00CE04DC" w:rsidRPr="00321BE4" w:rsidRDefault="00CE04DC" w:rsidP="002F09F0">
            <w:pPr>
              <w:jc w:val="center"/>
              <w:rPr>
                <w:rFonts w:ascii="Times New Roman" w:hAnsi="Times New Roman" w:cs="Times New Roman"/>
                <w:sz w:val="20"/>
                <w:szCs w:val="20"/>
              </w:rPr>
            </w:pPr>
            <m:oMathPara>
              <m:oMath>
                <m:r>
                  <w:rPr>
                    <w:rFonts w:ascii="Cambria Math" w:hAnsi="Cambria Math" w:cs="Times New Roman"/>
                    <w:sz w:val="20"/>
                    <w:szCs w:val="20"/>
                  </w:rPr>
                  <m:t>-0.37</m:t>
                </m:r>
              </m:oMath>
            </m:oMathPara>
          </w:p>
        </w:tc>
        <w:tc>
          <w:tcPr>
            <w:tcW w:w="1309" w:type="dxa"/>
            <w:tcBorders>
              <w:right w:val="nil"/>
            </w:tcBorders>
          </w:tcPr>
          <w:p w14:paraId="5A70DEF6"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43448D3C" w14:textId="77777777" w:rsidTr="00FD2373">
        <w:trPr>
          <w:trHeight w:val="145"/>
          <w:jc w:val="center"/>
        </w:trPr>
        <w:tc>
          <w:tcPr>
            <w:tcW w:w="956" w:type="dxa"/>
            <w:tcBorders>
              <w:left w:val="nil"/>
            </w:tcBorders>
            <w:vAlign w:val="bottom"/>
          </w:tcPr>
          <w:p w14:paraId="58A40B77"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SSS3</w:t>
            </w:r>
          </w:p>
        </w:tc>
        <w:tc>
          <w:tcPr>
            <w:tcW w:w="1570" w:type="dxa"/>
            <w:vAlign w:val="bottom"/>
          </w:tcPr>
          <w:p w14:paraId="2858AF0C"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8.10</w:t>
            </w:r>
          </w:p>
        </w:tc>
        <w:tc>
          <w:tcPr>
            <w:tcW w:w="1398" w:type="dxa"/>
            <w:vAlign w:val="bottom"/>
          </w:tcPr>
          <w:p w14:paraId="6D401887"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-1.89</w:t>
            </w:r>
          </w:p>
        </w:tc>
        <w:tc>
          <w:tcPr>
            <w:tcW w:w="1370" w:type="dxa"/>
            <w:vAlign w:val="bottom"/>
          </w:tcPr>
          <w:p w14:paraId="4EF9E396"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-1.11</w:t>
            </w:r>
          </w:p>
        </w:tc>
        <w:tc>
          <w:tcPr>
            <w:tcW w:w="1309" w:type="dxa"/>
            <w:vAlign w:val="bottom"/>
          </w:tcPr>
          <w:p w14:paraId="639CC4BC" w14:textId="77777777" w:rsidR="00CE04DC" w:rsidRPr="00321BE4" w:rsidRDefault="00CE04DC" w:rsidP="002F09F0">
            <w:pPr>
              <w:jc w:val="center"/>
              <w:rPr>
                <w:rFonts w:ascii="Times New Roman" w:hAnsi="Times New Roman" w:cs="Times New Roman"/>
                <w:sz w:val="20"/>
                <w:szCs w:val="20"/>
              </w:rPr>
            </w:pPr>
            <m:oMathPara>
              <m:oMath>
                <m:r>
                  <w:rPr>
                    <w:rFonts w:ascii="Cambria Math" w:hAnsi="Cambria Math" w:cs="Times New Roman"/>
                    <w:sz w:val="20"/>
                    <w:szCs w:val="20"/>
                  </w:rPr>
                  <m:t>-0.54</m:t>
                </m:r>
              </m:oMath>
            </m:oMathPara>
          </w:p>
        </w:tc>
        <w:tc>
          <w:tcPr>
            <w:tcW w:w="1309" w:type="dxa"/>
            <w:tcBorders>
              <w:right w:val="nil"/>
            </w:tcBorders>
          </w:tcPr>
          <w:p w14:paraId="103458E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4040CB58" w14:textId="77777777" w:rsidTr="00FD2373">
        <w:trPr>
          <w:trHeight w:val="145"/>
          <w:jc w:val="center"/>
        </w:trPr>
        <w:tc>
          <w:tcPr>
            <w:tcW w:w="956" w:type="dxa"/>
            <w:tcBorders>
              <w:left w:val="nil"/>
            </w:tcBorders>
            <w:vAlign w:val="bottom"/>
          </w:tcPr>
          <w:p w14:paraId="37EB0A6B"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SSS4</w:t>
            </w:r>
          </w:p>
        </w:tc>
        <w:tc>
          <w:tcPr>
            <w:tcW w:w="1570" w:type="dxa"/>
            <w:vAlign w:val="bottom"/>
          </w:tcPr>
          <w:p w14:paraId="4EFB799F"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2.01</w:t>
            </w:r>
          </w:p>
        </w:tc>
        <w:tc>
          <w:tcPr>
            <w:tcW w:w="1398" w:type="dxa"/>
            <w:vAlign w:val="bottom"/>
          </w:tcPr>
          <w:p w14:paraId="20759EEE"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-2.69</w:t>
            </w:r>
          </w:p>
        </w:tc>
        <w:tc>
          <w:tcPr>
            <w:tcW w:w="1370" w:type="dxa"/>
            <w:vAlign w:val="bottom"/>
          </w:tcPr>
          <w:p w14:paraId="5B5EE5F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-1.47</w:t>
            </w:r>
          </w:p>
        </w:tc>
        <w:tc>
          <w:tcPr>
            <w:tcW w:w="1309" w:type="dxa"/>
            <w:vAlign w:val="bottom"/>
          </w:tcPr>
          <w:p w14:paraId="62A8A525" w14:textId="77777777" w:rsidR="00CE04DC" w:rsidRPr="00321BE4" w:rsidRDefault="00CE04DC" w:rsidP="002F09F0">
            <w:pPr>
              <w:jc w:val="center"/>
              <w:rPr>
                <w:rFonts w:ascii="Times New Roman" w:hAnsi="Times New Roman" w:cs="Times New Roman"/>
                <w:sz w:val="20"/>
                <w:szCs w:val="20"/>
              </w:rPr>
            </w:pPr>
            <m:oMathPara>
              <m:oMath>
                <m:r>
                  <w:rPr>
                    <w:rFonts w:ascii="Cambria Math" w:hAnsi="Cambria Math" w:cs="Times New Roman"/>
                    <w:sz w:val="20"/>
                    <w:szCs w:val="20"/>
                  </w:rPr>
                  <m:t>-0.82</m:t>
                </m:r>
              </m:oMath>
            </m:oMathPara>
          </w:p>
        </w:tc>
        <w:tc>
          <w:tcPr>
            <w:tcW w:w="1309" w:type="dxa"/>
            <w:tcBorders>
              <w:right w:val="nil"/>
            </w:tcBorders>
          </w:tcPr>
          <w:p w14:paraId="7AD45EAB"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r w:rsidR="00CE04DC" w:rsidRPr="00321BE4" w14:paraId="2C37D15F" w14:textId="77777777" w:rsidTr="00FD2373">
        <w:trPr>
          <w:trHeight w:val="145"/>
          <w:jc w:val="center"/>
        </w:trPr>
        <w:tc>
          <w:tcPr>
            <w:tcW w:w="956" w:type="dxa"/>
            <w:tcBorders>
              <w:left w:val="nil"/>
            </w:tcBorders>
            <w:vAlign w:val="bottom"/>
          </w:tcPr>
          <w:p w14:paraId="10C5C750"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SSS5</w:t>
            </w:r>
          </w:p>
        </w:tc>
        <w:tc>
          <w:tcPr>
            <w:tcW w:w="1570" w:type="dxa"/>
            <w:vAlign w:val="bottom"/>
          </w:tcPr>
          <w:p w14:paraId="0E7C0176"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1.48</w:t>
            </w:r>
          </w:p>
        </w:tc>
        <w:tc>
          <w:tcPr>
            <w:tcW w:w="1398" w:type="dxa"/>
            <w:vAlign w:val="bottom"/>
          </w:tcPr>
          <w:p w14:paraId="4650C496"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-4.44</w:t>
            </w:r>
          </w:p>
        </w:tc>
        <w:tc>
          <w:tcPr>
            <w:tcW w:w="1370" w:type="dxa"/>
            <w:vAlign w:val="bottom"/>
          </w:tcPr>
          <w:p w14:paraId="23929B97"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-2.12</w:t>
            </w:r>
          </w:p>
        </w:tc>
        <w:tc>
          <w:tcPr>
            <w:tcW w:w="1309" w:type="dxa"/>
            <w:vAlign w:val="bottom"/>
          </w:tcPr>
          <w:p w14:paraId="4A67B550" w14:textId="77777777" w:rsidR="00CE04DC" w:rsidRPr="00321BE4" w:rsidRDefault="00CE04DC" w:rsidP="002F09F0">
            <w:pPr>
              <w:jc w:val="center"/>
              <w:rPr>
                <w:rFonts w:ascii="Times New Roman" w:hAnsi="Times New Roman" w:cs="Times New Roman"/>
                <w:sz w:val="20"/>
                <w:szCs w:val="20"/>
              </w:rPr>
            </w:pPr>
            <m:oMathPara>
              <m:oMath>
                <m:r>
                  <w:rPr>
                    <w:rFonts w:ascii="Cambria Math" w:hAnsi="Cambria Math" w:cs="Times New Roman"/>
                    <w:sz w:val="20"/>
                    <w:szCs w:val="20"/>
                  </w:rPr>
                  <m:t>-1.40</m:t>
                </m:r>
              </m:oMath>
            </m:oMathPara>
          </w:p>
        </w:tc>
        <w:tc>
          <w:tcPr>
            <w:tcW w:w="1309" w:type="dxa"/>
            <w:tcBorders>
              <w:right w:val="nil"/>
            </w:tcBorders>
          </w:tcPr>
          <w:p w14:paraId="07A3A684" w14:textId="77777777" w:rsidR="00CE04DC" w:rsidRPr="00321BE4" w:rsidRDefault="00CE04DC" w:rsidP="002F09F0">
            <w:pPr>
              <w:jc w:val="center"/>
              <w:rPr>
                <w:rFonts w:ascii="Times New Roman" w:hAnsi="Times New Roman" w:cs="Times New Roman"/>
                <w:sz w:val="20"/>
                <w:szCs w:val="20"/>
              </w:rPr>
            </w:pPr>
            <w:r w:rsidRPr="00321BE4">
              <w:rPr>
                <w:rFonts w:ascii="Times New Roman" w:hAnsi="Times New Roman" w:cs="Times New Roman"/>
                <w:sz w:val="20"/>
                <w:szCs w:val="20"/>
              </w:rPr>
              <w:t>-</w:t>
            </w:r>
          </w:p>
        </w:tc>
      </w:tr>
    </w:tbl>
    <w:p w14:paraId="746804EC" w14:textId="77777777" w:rsidR="00CE04DC" w:rsidRPr="00321BE4" w:rsidRDefault="00CE04DC" w:rsidP="00CE04DC">
      <w:pPr>
        <w:rPr>
          <w:sz w:val="20"/>
          <w:szCs w:val="20"/>
        </w:rPr>
      </w:pPr>
      <w:bookmarkStart w:id="17" w:name="_Toc166993749"/>
    </w:p>
    <w:p w14:paraId="5591C2A6" w14:textId="77777777" w:rsidR="00CE04DC" w:rsidRDefault="00CE04DC" w:rsidP="00CE04DC">
      <w:pPr>
        <w:pStyle w:val="Heading3"/>
        <w:spacing w:before="0" w:after="0"/>
        <w:rPr>
          <w:rFonts w:ascii="Times New Roman" w:hAnsi="Times New Roman" w:cs="Times New Roman"/>
          <w:i/>
          <w:iCs/>
          <w:sz w:val="20"/>
          <w:szCs w:val="20"/>
        </w:rPr>
      </w:pPr>
      <w:r w:rsidRPr="00321BE4">
        <w:rPr>
          <w:rFonts w:ascii="Times New Roman" w:hAnsi="Times New Roman" w:cs="Times New Roman"/>
          <w:i/>
          <w:iCs/>
          <w:sz w:val="20"/>
          <w:szCs w:val="20"/>
        </w:rPr>
        <w:t>Confirmatory factor analysis (CFA) and Structural Equation Modeling (SEM)</w:t>
      </w:r>
      <w:bookmarkEnd w:id="17"/>
    </w:p>
    <w:p w14:paraId="563178F4" w14:textId="77777777" w:rsidR="00FD2373" w:rsidRPr="00FD2373" w:rsidRDefault="00FD2373" w:rsidP="00FD2373"/>
    <w:p w14:paraId="53E55051" w14:textId="77777777" w:rsidR="00CE04DC" w:rsidRPr="00321BE4" w:rsidRDefault="00CE04DC" w:rsidP="00FD2373">
      <w:pPr>
        <w:spacing w:line="324" w:lineRule="auto"/>
        <w:jc w:val="both"/>
        <w:rPr>
          <w:sz w:val="20"/>
          <w:szCs w:val="20"/>
        </w:rPr>
      </w:pPr>
      <w:r w:rsidRPr="00321BE4">
        <w:rPr>
          <w:sz w:val="20"/>
          <w:szCs w:val="20"/>
        </w:rPr>
        <w:t xml:space="preserve">Working Mother Stress Scale (WMS-9) shows significant positive coefficients ranging from 0.756 to 1.812, all with </w:t>
      </w:r>
      <w:r w:rsidRPr="00321BE4">
        <w:rPr>
          <w:i/>
          <w:iCs/>
          <w:sz w:val="20"/>
          <w:szCs w:val="20"/>
        </w:rPr>
        <w:t>p</w:t>
      </w:r>
      <w:r w:rsidRPr="00321BE4">
        <w:rPr>
          <w:sz w:val="20"/>
          <w:szCs w:val="20"/>
        </w:rPr>
        <w:t xml:space="preserve">-values below 0.001, suggesting strong and statistically significant predictors of stress related to motherhood. The PHQ-9 scale also displays significant positive coefficients, with the base variable fixed at 1. These coefficients range from 1.155 to 1.632, all significant at </w:t>
      </w:r>
      <w:r w:rsidRPr="00321BE4">
        <w:rPr>
          <w:position w:val="-10"/>
          <w:sz w:val="20"/>
          <w:szCs w:val="20"/>
        </w:rPr>
        <w:object w:dxaOrig="240" w:dyaOrig="260" w14:anchorId="526C19D0">
          <v:shape id="_x0000_i1041" type="#_x0000_t75" style="width:12pt;height:13.25pt" o:ole="">
            <v:imagedata r:id="rId42" o:title=""/>
          </v:shape>
          <o:OLEObject Type="Embed" ProgID="Equation.DSMT4" ShapeID="_x0000_i1041" DrawAspect="Content" ObjectID="_1846227298" r:id="rId43"/>
        </w:object>
      </w:r>
      <w:r w:rsidRPr="00321BE4">
        <w:rPr>
          <w:sz w:val="20"/>
          <w:szCs w:val="20"/>
        </w:rPr>
        <w:t xml:space="preserve"> &lt; 0.001, indicating that increases in these variables will increase depression scores. Spousal Support Scale (SSS-4) has coefficients showing that if support increases, the magnitude of the coefficients decreases from 1 to 0.405, all statistically significant at </w:t>
      </w:r>
      <w:r w:rsidRPr="00321BE4">
        <w:rPr>
          <w:i/>
          <w:iCs/>
          <w:sz w:val="20"/>
          <w:szCs w:val="20"/>
        </w:rPr>
        <w:t>p</w:t>
      </w:r>
      <w:r w:rsidRPr="00321BE4">
        <w:rPr>
          <w:sz w:val="20"/>
          <w:szCs w:val="20"/>
        </w:rPr>
        <w:t>-value &lt;0.001. This pattern suggests that higher Spousal support is linked to a decrease in the stress or depression severity of the working mothers [</w:t>
      </w:r>
      <w:r w:rsidRPr="00321BE4">
        <w:rPr>
          <w:b/>
          <w:bCs/>
          <w:sz w:val="20"/>
          <w:szCs w:val="20"/>
        </w:rPr>
        <w:t>Figure 3]</w:t>
      </w:r>
      <w:r w:rsidRPr="00321BE4">
        <w:rPr>
          <w:sz w:val="20"/>
          <w:szCs w:val="20"/>
        </w:rPr>
        <w:t>.</w:t>
      </w:r>
    </w:p>
    <w:p w14:paraId="1F47107D" w14:textId="77777777" w:rsidR="00CE04DC" w:rsidRPr="00321BE4" w:rsidRDefault="00CE04DC" w:rsidP="00CE04DC">
      <w:pPr>
        <w:jc w:val="both"/>
        <w:rPr>
          <w:sz w:val="20"/>
          <w:szCs w:val="20"/>
        </w:rPr>
      </w:pPr>
    </w:p>
    <w:p w14:paraId="045055D1" w14:textId="77777777" w:rsidR="00CE04DC" w:rsidRPr="00321BE4" w:rsidRDefault="00CE04DC" w:rsidP="00CE04DC">
      <w:pPr>
        <w:keepNext/>
        <w:jc w:val="center"/>
        <w:rPr>
          <w:sz w:val="20"/>
          <w:szCs w:val="20"/>
        </w:rPr>
      </w:pPr>
      <w:r w:rsidRPr="00321BE4">
        <w:rPr>
          <w:noProof/>
          <w:sz w:val="20"/>
          <w:szCs w:val="20"/>
        </w:rPr>
        <w:drawing>
          <wp:inline distT="0" distB="0" distL="0" distR="0" wp14:anchorId="3142A440" wp14:editId="10897AF0">
            <wp:extent cx="3831127" cy="2887980"/>
            <wp:effectExtent l="38100" t="38100" r="17145" b="26670"/>
            <wp:docPr id="1004910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10927" name=""/>
                    <pic:cNvPicPr/>
                  </pic:nvPicPr>
                  <pic:blipFill>
                    <a:blip r:embed="rId44"/>
                    <a:stretch>
                      <a:fillRect/>
                    </a:stretch>
                  </pic:blipFill>
                  <pic:spPr>
                    <a:xfrm>
                      <a:off x="0" y="0"/>
                      <a:ext cx="3835289" cy="2891118"/>
                    </a:xfrm>
                    <a:prstGeom prst="rect">
                      <a:avLst/>
                    </a:prstGeom>
                    <a:ln w="28575">
                      <a:solidFill>
                        <a:schemeClr val="accent1"/>
                      </a:solidFill>
                      <a:extLst>
                        <a:ext uri="{C807C97D-BFC1-408E-A445-0C87EB9F89A2}">
                          <ask:lineSketchStyleProps xmlns:ask="http://schemas.microsoft.com/office/drawing/2018/sketchyshapes">
                            <ask:type>
                              <ask:lineSketchNone/>
                            </ask:type>
                          </ask:lineSketchStyleProps>
                        </a:ext>
                      </a:extLst>
                    </a:ln>
                  </pic:spPr>
                </pic:pic>
              </a:graphicData>
            </a:graphic>
          </wp:inline>
        </w:drawing>
      </w:r>
      <w:r w:rsidRPr="00321BE4">
        <w:rPr>
          <w:noProof/>
          <w:sz w:val="20"/>
          <w:szCs w:val="20"/>
        </w:rPr>
        <w:t xml:space="preserve"> </w:t>
      </w:r>
    </w:p>
    <w:p w14:paraId="3A9F500D" w14:textId="77777777" w:rsidR="00FD2373" w:rsidRDefault="00FD2373" w:rsidP="00FD2373">
      <w:pPr>
        <w:pStyle w:val="Caption"/>
        <w:spacing w:line="240" w:lineRule="auto"/>
        <w:jc w:val="center"/>
        <w:rPr>
          <w:sz w:val="20"/>
          <w:szCs w:val="20"/>
        </w:rPr>
      </w:pPr>
      <w:bookmarkStart w:id="18" w:name="_Toc166993669"/>
    </w:p>
    <w:p w14:paraId="18F8F491" w14:textId="26E45E5E" w:rsidR="00CE04DC" w:rsidRPr="00321BE4" w:rsidRDefault="00CE04DC" w:rsidP="00FD2373">
      <w:pPr>
        <w:pStyle w:val="Caption"/>
        <w:spacing w:line="240" w:lineRule="auto"/>
        <w:jc w:val="center"/>
        <w:rPr>
          <w:i/>
          <w:iCs/>
          <w:sz w:val="20"/>
          <w:szCs w:val="20"/>
        </w:rPr>
      </w:pPr>
      <w:r w:rsidRPr="00321BE4">
        <w:rPr>
          <w:sz w:val="20"/>
          <w:szCs w:val="20"/>
        </w:rPr>
        <w:t>Figure 3</w:t>
      </w:r>
      <w:r w:rsidR="00FD2373">
        <w:rPr>
          <w:sz w:val="20"/>
          <w:szCs w:val="20"/>
        </w:rPr>
        <w:t>.</w:t>
      </w:r>
      <w:r w:rsidRPr="00321BE4">
        <w:rPr>
          <w:sz w:val="20"/>
          <w:szCs w:val="20"/>
        </w:rPr>
        <w:t xml:space="preserve"> </w:t>
      </w:r>
      <w:r w:rsidRPr="00FD2373">
        <w:rPr>
          <w:b w:val="0"/>
          <w:bCs w:val="0"/>
          <w:sz w:val="20"/>
          <w:szCs w:val="20"/>
        </w:rPr>
        <w:t xml:space="preserve">Path </w:t>
      </w:r>
      <w:r w:rsidR="00FD2373">
        <w:rPr>
          <w:b w:val="0"/>
          <w:bCs w:val="0"/>
          <w:sz w:val="20"/>
          <w:szCs w:val="20"/>
        </w:rPr>
        <w:t>A</w:t>
      </w:r>
      <w:r w:rsidRPr="00FD2373">
        <w:rPr>
          <w:b w:val="0"/>
          <w:bCs w:val="0"/>
          <w:sz w:val="20"/>
          <w:szCs w:val="20"/>
        </w:rPr>
        <w:t xml:space="preserve">nalysis of </w:t>
      </w:r>
      <w:r w:rsidR="00FD2373">
        <w:rPr>
          <w:b w:val="0"/>
          <w:bCs w:val="0"/>
          <w:sz w:val="20"/>
          <w:szCs w:val="20"/>
        </w:rPr>
        <w:t>D</w:t>
      </w:r>
      <w:r w:rsidRPr="00FD2373">
        <w:rPr>
          <w:b w:val="0"/>
          <w:bCs w:val="0"/>
          <w:sz w:val="20"/>
          <w:szCs w:val="20"/>
        </w:rPr>
        <w:t>ifferent scales</w:t>
      </w:r>
      <w:bookmarkEnd w:id="18"/>
    </w:p>
    <w:p w14:paraId="21CB16A6" w14:textId="77777777" w:rsidR="00CE04DC" w:rsidRPr="00321BE4" w:rsidRDefault="00CE04DC" w:rsidP="00CE04DC">
      <w:pPr>
        <w:jc w:val="both"/>
        <w:rPr>
          <w:sz w:val="20"/>
          <w:szCs w:val="20"/>
        </w:rPr>
      </w:pPr>
    </w:p>
    <w:p w14:paraId="0730AC16" w14:textId="77777777" w:rsidR="00CE04DC" w:rsidRPr="00321BE4" w:rsidRDefault="00CE04DC" w:rsidP="00FD2373">
      <w:pPr>
        <w:spacing w:line="324" w:lineRule="auto"/>
        <w:jc w:val="both"/>
        <w:rPr>
          <w:sz w:val="20"/>
          <w:szCs w:val="20"/>
        </w:rPr>
      </w:pPr>
      <w:r w:rsidRPr="00321BE4">
        <w:rPr>
          <w:sz w:val="20"/>
          <w:szCs w:val="20"/>
        </w:rPr>
        <w:t xml:space="preserve">The analysis of the relationships between depression, working mother stress, and Spousal support reveals significant findings. There is a significant positive relationship between depression and working mother stress, indicated by a covariance estimate of 0.120 and a </w:t>
      </w:r>
      <w:r w:rsidRPr="00321BE4">
        <w:rPr>
          <w:i/>
          <w:iCs/>
          <w:sz w:val="20"/>
          <w:szCs w:val="20"/>
        </w:rPr>
        <w:t>p</w:t>
      </w:r>
      <w:r w:rsidRPr="00321BE4">
        <w:rPr>
          <w:sz w:val="20"/>
          <w:szCs w:val="20"/>
        </w:rPr>
        <w:t xml:space="preserve">-value of less than 0.001. This suggests that increases in working mother stress also increase the depression levels of the working mothers. In contrast, depression shows a significant negative correlation with Spousal support, with a covariance estimate of -0.131 and a </w:t>
      </w:r>
      <w:r w:rsidRPr="00321BE4">
        <w:rPr>
          <w:i/>
          <w:iCs/>
          <w:sz w:val="20"/>
          <w:szCs w:val="20"/>
        </w:rPr>
        <w:t>p</w:t>
      </w:r>
      <w:r w:rsidRPr="00321BE4">
        <w:rPr>
          <w:sz w:val="20"/>
          <w:szCs w:val="20"/>
        </w:rPr>
        <w:t xml:space="preserve">-value of 0.004, highlighting that enhanced Spousal support can effectively reduce depression. Additionally, the relationship between working mother stress and Spousal support also exhibits a significant negative correlation, evidenced by a covariance estimate of -0.172 and a </w:t>
      </w:r>
      <w:r w:rsidRPr="00321BE4">
        <w:rPr>
          <w:i/>
          <w:iCs/>
          <w:sz w:val="20"/>
          <w:szCs w:val="20"/>
        </w:rPr>
        <w:t>p</w:t>
      </w:r>
      <w:r w:rsidRPr="00321BE4">
        <w:rPr>
          <w:sz w:val="20"/>
          <w:szCs w:val="20"/>
        </w:rPr>
        <w:t>-value of less than 0.001 [</w:t>
      </w:r>
      <w:r w:rsidRPr="00321BE4">
        <w:rPr>
          <w:b/>
          <w:bCs/>
          <w:sz w:val="20"/>
          <w:szCs w:val="20"/>
        </w:rPr>
        <w:t>Figure 4, Table 4]</w:t>
      </w:r>
      <w:r w:rsidRPr="00321BE4">
        <w:rPr>
          <w:sz w:val="20"/>
          <w:szCs w:val="20"/>
        </w:rPr>
        <w:t>. This indicates that higher levels of working mother stress are associated with lower levels of Spousal support. The implication is that during high-stress periods, the available Spousal support may not sufficiently meet the increased demands faced by working mothers. These insights not only underscore the complex dynamics within family relationships but also highlight critical areas for intervention to strengthen support systems for working mothers facing significant stress.</w:t>
      </w:r>
    </w:p>
    <w:p w14:paraId="714669EF" w14:textId="77777777" w:rsidR="00CE04DC" w:rsidRPr="00321BE4" w:rsidRDefault="00CE04DC" w:rsidP="00CE04DC">
      <w:pPr>
        <w:jc w:val="both"/>
        <w:rPr>
          <w:color w:val="000000" w:themeColor="text1"/>
          <w:sz w:val="20"/>
          <w:szCs w:val="20"/>
        </w:rPr>
      </w:pPr>
    </w:p>
    <w:p w14:paraId="355ADA87" w14:textId="65B6EE5B" w:rsidR="00CE04DC" w:rsidRDefault="00CE04DC" w:rsidP="00CE04DC">
      <w:pPr>
        <w:pStyle w:val="Caption"/>
        <w:keepNext/>
        <w:spacing w:line="240" w:lineRule="auto"/>
        <w:rPr>
          <w:color w:val="000000" w:themeColor="text1"/>
          <w:sz w:val="20"/>
          <w:szCs w:val="20"/>
        </w:rPr>
      </w:pPr>
      <w:bookmarkStart w:id="19" w:name="_Toc166993537"/>
      <w:r w:rsidRPr="00321BE4">
        <w:rPr>
          <w:color w:val="000000" w:themeColor="text1"/>
          <w:sz w:val="20"/>
          <w:szCs w:val="20"/>
        </w:rPr>
        <w:t>Table 4</w:t>
      </w:r>
      <w:r w:rsidR="00815BFC">
        <w:rPr>
          <w:color w:val="000000" w:themeColor="text1"/>
          <w:sz w:val="20"/>
          <w:szCs w:val="20"/>
        </w:rPr>
        <w:t>.</w:t>
      </w:r>
      <w:r w:rsidRPr="00321BE4">
        <w:rPr>
          <w:color w:val="000000" w:themeColor="text1"/>
          <w:sz w:val="20"/>
          <w:szCs w:val="20"/>
        </w:rPr>
        <w:t xml:space="preserve"> </w:t>
      </w:r>
      <w:r w:rsidRPr="00815BFC">
        <w:rPr>
          <w:b w:val="0"/>
          <w:bCs w:val="0"/>
          <w:color w:val="000000" w:themeColor="text1"/>
          <w:sz w:val="20"/>
          <w:szCs w:val="20"/>
        </w:rPr>
        <w:t xml:space="preserve">Covariates among </w:t>
      </w:r>
      <w:r w:rsidR="00815BFC" w:rsidRPr="00815BFC">
        <w:rPr>
          <w:b w:val="0"/>
          <w:bCs w:val="0"/>
          <w:color w:val="000000" w:themeColor="text1"/>
          <w:sz w:val="20"/>
          <w:szCs w:val="20"/>
        </w:rPr>
        <w:t>L</w:t>
      </w:r>
      <w:r w:rsidRPr="00815BFC">
        <w:rPr>
          <w:b w:val="0"/>
          <w:bCs w:val="0"/>
          <w:color w:val="000000" w:themeColor="text1"/>
          <w:sz w:val="20"/>
          <w:szCs w:val="20"/>
        </w:rPr>
        <w:t xml:space="preserve">atent </w:t>
      </w:r>
      <w:r w:rsidR="00815BFC" w:rsidRPr="00815BFC">
        <w:rPr>
          <w:b w:val="0"/>
          <w:bCs w:val="0"/>
          <w:color w:val="000000" w:themeColor="text1"/>
          <w:sz w:val="20"/>
          <w:szCs w:val="20"/>
        </w:rPr>
        <w:t>V</w:t>
      </w:r>
      <w:r w:rsidRPr="00815BFC">
        <w:rPr>
          <w:b w:val="0"/>
          <w:bCs w:val="0"/>
          <w:color w:val="000000" w:themeColor="text1"/>
          <w:sz w:val="20"/>
          <w:szCs w:val="20"/>
        </w:rPr>
        <w:t xml:space="preserve">ariables in the </w:t>
      </w:r>
      <w:r w:rsidR="00815BFC" w:rsidRPr="00815BFC">
        <w:rPr>
          <w:b w:val="0"/>
          <w:bCs w:val="0"/>
          <w:color w:val="000000" w:themeColor="text1"/>
          <w:sz w:val="20"/>
          <w:szCs w:val="20"/>
        </w:rPr>
        <w:t>S</w:t>
      </w:r>
      <w:r w:rsidRPr="00815BFC">
        <w:rPr>
          <w:b w:val="0"/>
          <w:bCs w:val="0"/>
          <w:color w:val="000000" w:themeColor="text1"/>
          <w:sz w:val="20"/>
          <w:szCs w:val="20"/>
        </w:rPr>
        <w:t xml:space="preserve">tructural </w:t>
      </w:r>
      <w:r w:rsidR="00815BFC" w:rsidRPr="00815BFC">
        <w:rPr>
          <w:b w:val="0"/>
          <w:bCs w:val="0"/>
          <w:color w:val="000000" w:themeColor="text1"/>
          <w:sz w:val="20"/>
          <w:szCs w:val="20"/>
        </w:rPr>
        <w:t>E</w:t>
      </w:r>
      <w:r w:rsidRPr="00815BFC">
        <w:rPr>
          <w:b w:val="0"/>
          <w:bCs w:val="0"/>
          <w:color w:val="000000" w:themeColor="text1"/>
          <w:sz w:val="20"/>
          <w:szCs w:val="20"/>
        </w:rPr>
        <w:t xml:space="preserve">quation </w:t>
      </w:r>
      <w:r w:rsidR="00815BFC" w:rsidRPr="00815BFC">
        <w:rPr>
          <w:b w:val="0"/>
          <w:bCs w:val="0"/>
          <w:color w:val="000000" w:themeColor="text1"/>
          <w:sz w:val="20"/>
          <w:szCs w:val="20"/>
        </w:rPr>
        <w:t>M</w:t>
      </w:r>
      <w:r w:rsidRPr="00815BFC">
        <w:rPr>
          <w:b w:val="0"/>
          <w:bCs w:val="0"/>
          <w:color w:val="000000" w:themeColor="text1"/>
          <w:sz w:val="20"/>
          <w:szCs w:val="20"/>
        </w:rPr>
        <w:t>odel</w:t>
      </w:r>
      <w:bookmarkEnd w:id="19"/>
    </w:p>
    <w:p w14:paraId="2E9BAA72" w14:textId="77777777" w:rsidR="00815BFC" w:rsidRPr="00815BFC" w:rsidRDefault="00815BFC" w:rsidP="00815BFC"/>
    <w:tbl>
      <w:tblPr>
        <w:tblStyle w:val="TableGrid"/>
        <w:tblW w:w="4753" w:type="pct"/>
        <w:jc w:val="center"/>
        <w:tblBorders>
          <w:left w:val="none" w:sz="0" w:space="0" w:color="auto"/>
          <w:right w:val="none" w:sz="0" w:space="0" w:color="auto"/>
        </w:tblBorders>
        <w:tblLook w:val="04A0" w:firstRow="1" w:lastRow="0" w:firstColumn="1" w:lastColumn="0" w:noHBand="0" w:noVBand="1"/>
      </w:tblPr>
      <w:tblGrid>
        <w:gridCol w:w="4283"/>
        <w:gridCol w:w="2075"/>
        <w:gridCol w:w="1198"/>
      </w:tblGrid>
      <w:tr w:rsidR="00CE04DC" w:rsidRPr="00321BE4" w14:paraId="3464FACF" w14:textId="77777777" w:rsidTr="00815BFC">
        <w:trPr>
          <w:trHeight w:val="253"/>
          <w:jc w:val="center"/>
        </w:trPr>
        <w:tc>
          <w:tcPr>
            <w:tcW w:w="2834" w:type="pct"/>
            <w:noWrap/>
            <w:hideMark/>
          </w:tcPr>
          <w:p w14:paraId="797E4BAD" w14:textId="77777777" w:rsidR="00CE04DC" w:rsidRPr="00321BE4" w:rsidRDefault="00CE04DC" w:rsidP="002F09F0">
            <w:pPr>
              <w:jc w:val="both"/>
              <w:rPr>
                <w:rFonts w:ascii="Times New Roman" w:hAnsi="Times New Roman" w:cs="Times New Roman"/>
                <w:b/>
                <w:bCs/>
                <w:sz w:val="20"/>
                <w:szCs w:val="20"/>
              </w:rPr>
            </w:pPr>
            <w:r w:rsidRPr="00321BE4">
              <w:rPr>
                <w:rFonts w:ascii="Times New Roman" w:hAnsi="Times New Roman" w:cs="Times New Roman"/>
                <w:b/>
                <w:bCs/>
                <w:sz w:val="20"/>
                <w:szCs w:val="20"/>
              </w:rPr>
              <w:t>Relationship Tested</w:t>
            </w:r>
          </w:p>
        </w:tc>
        <w:tc>
          <w:tcPr>
            <w:tcW w:w="1373" w:type="pct"/>
            <w:noWrap/>
            <w:hideMark/>
          </w:tcPr>
          <w:p w14:paraId="7D2A157E" w14:textId="77777777" w:rsidR="00CE04DC" w:rsidRPr="00321BE4" w:rsidRDefault="00CE04DC" w:rsidP="002F09F0">
            <w:pPr>
              <w:jc w:val="both"/>
              <w:rPr>
                <w:rFonts w:ascii="Times New Roman" w:hAnsi="Times New Roman" w:cs="Times New Roman"/>
                <w:b/>
                <w:bCs/>
                <w:sz w:val="20"/>
                <w:szCs w:val="20"/>
              </w:rPr>
            </w:pPr>
            <w:r w:rsidRPr="00321BE4">
              <w:rPr>
                <w:rFonts w:ascii="Times New Roman" w:hAnsi="Times New Roman" w:cs="Times New Roman"/>
                <w:b/>
                <w:bCs/>
                <w:sz w:val="20"/>
                <w:szCs w:val="20"/>
              </w:rPr>
              <w:t>Covariance Estimate</w:t>
            </w:r>
          </w:p>
        </w:tc>
        <w:tc>
          <w:tcPr>
            <w:tcW w:w="793" w:type="pct"/>
            <w:noWrap/>
            <w:hideMark/>
          </w:tcPr>
          <w:p w14:paraId="52878778" w14:textId="77777777" w:rsidR="00CE04DC" w:rsidRPr="00321BE4" w:rsidRDefault="00CE04DC" w:rsidP="002F09F0">
            <w:pPr>
              <w:jc w:val="both"/>
              <w:rPr>
                <w:rFonts w:ascii="Times New Roman" w:hAnsi="Times New Roman" w:cs="Times New Roman"/>
                <w:b/>
                <w:bCs/>
                <w:sz w:val="20"/>
                <w:szCs w:val="20"/>
              </w:rPr>
            </w:pPr>
            <w:r w:rsidRPr="00321BE4">
              <w:rPr>
                <w:rFonts w:ascii="Times New Roman" w:hAnsi="Times New Roman" w:cs="Times New Roman"/>
                <w:b/>
                <w:bCs/>
                <w:sz w:val="20"/>
                <w:szCs w:val="20"/>
              </w:rPr>
              <w:t>p-value</w:t>
            </w:r>
          </w:p>
        </w:tc>
      </w:tr>
      <w:tr w:rsidR="00CE04DC" w:rsidRPr="00321BE4" w14:paraId="47845435" w14:textId="77777777" w:rsidTr="00815BFC">
        <w:trPr>
          <w:trHeight w:val="253"/>
          <w:jc w:val="center"/>
        </w:trPr>
        <w:tc>
          <w:tcPr>
            <w:tcW w:w="2834" w:type="pct"/>
            <w:noWrap/>
            <w:hideMark/>
          </w:tcPr>
          <w:p w14:paraId="20F6A67A"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Depression ~ Working mother stress</w:t>
            </w:r>
          </w:p>
        </w:tc>
        <w:tc>
          <w:tcPr>
            <w:tcW w:w="1373" w:type="pct"/>
            <w:noWrap/>
            <w:hideMark/>
          </w:tcPr>
          <w:p w14:paraId="315D508A" w14:textId="77777777" w:rsidR="00CE04DC" w:rsidRPr="00321BE4" w:rsidRDefault="00CE04DC" w:rsidP="002F09F0">
            <w:pPr>
              <w:jc w:val="both"/>
              <w:rPr>
                <w:rFonts w:ascii="Times New Roman" w:hAnsi="Times New Roman" w:cs="Times New Roman"/>
                <w:sz w:val="20"/>
                <w:szCs w:val="20"/>
              </w:rPr>
            </w:pPr>
            <m:oMathPara>
              <m:oMath>
                <m:r>
                  <w:rPr>
                    <w:rFonts w:ascii="Cambria Math" w:hAnsi="Cambria Math" w:cs="Times New Roman"/>
                    <w:sz w:val="20"/>
                    <w:szCs w:val="20"/>
                  </w:rPr>
                  <m:t xml:space="preserve">   0.1202682</m:t>
                </m:r>
              </m:oMath>
            </m:oMathPara>
          </w:p>
        </w:tc>
        <w:tc>
          <w:tcPr>
            <w:tcW w:w="793" w:type="pct"/>
            <w:noWrap/>
            <w:hideMark/>
          </w:tcPr>
          <w:p w14:paraId="63E79D24" w14:textId="77777777" w:rsidR="00CE04DC" w:rsidRPr="00321BE4" w:rsidRDefault="00CE04DC" w:rsidP="002F09F0">
            <w:pPr>
              <w:jc w:val="both"/>
              <w:rPr>
                <w:rFonts w:ascii="Times New Roman" w:hAnsi="Times New Roman" w:cs="Times New Roman"/>
                <w:sz w:val="20"/>
                <w:szCs w:val="20"/>
              </w:rPr>
            </w:pPr>
            <m:oMathPara>
              <m:oMath>
                <m:r>
                  <w:rPr>
                    <w:rFonts w:ascii="Cambria Math" w:hAnsi="Cambria Math" w:cs="Times New Roman"/>
                    <w:sz w:val="20"/>
                    <w:szCs w:val="20"/>
                  </w:rPr>
                  <m:t>&lt;0.001</m:t>
                </m:r>
              </m:oMath>
            </m:oMathPara>
          </w:p>
        </w:tc>
      </w:tr>
      <w:tr w:rsidR="00CE04DC" w:rsidRPr="00321BE4" w14:paraId="762C8B11" w14:textId="77777777" w:rsidTr="00815BFC">
        <w:trPr>
          <w:trHeight w:val="253"/>
          <w:jc w:val="center"/>
        </w:trPr>
        <w:tc>
          <w:tcPr>
            <w:tcW w:w="2834" w:type="pct"/>
            <w:noWrap/>
            <w:hideMark/>
          </w:tcPr>
          <w:p w14:paraId="3A9F3ED6"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Depression ~ Spousal Support</w:t>
            </w:r>
          </w:p>
        </w:tc>
        <w:tc>
          <w:tcPr>
            <w:tcW w:w="1373" w:type="pct"/>
            <w:noWrap/>
            <w:hideMark/>
          </w:tcPr>
          <w:p w14:paraId="0A3A5975" w14:textId="77777777" w:rsidR="00CE04DC" w:rsidRPr="00321BE4" w:rsidRDefault="00CE04DC" w:rsidP="002F09F0">
            <w:pPr>
              <w:jc w:val="both"/>
              <w:rPr>
                <w:rFonts w:ascii="Times New Roman" w:hAnsi="Times New Roman" w:cs="Times New Roman"/>
                <w:sz w:val="20"/>
                <w:szCs w:val="20"/>
              </w:rPr>
            </w:pPr>
            <m:oMathPara>
              <m:oMath>
                <m:r>
                  <w:rPr>
                    <w:rFonts w:ascii="Cambria Math" w:hAnsi="Cambria Math" w:cs="Times New Roman"/>
                    <w:sz w:val="20"/>
                    <w:szCs w:val="20"/>
                  </w:rPr>
                  <m:t>-0.1309553</m:t>
                </m:r>
              </m:oMath>
            </m:oMathPara>
          </w:p>
        </w:tc>
        <w:tc>
          <w:tcPr>
            <w:tcW w:w="793" w:type="pct"/>
            <w:noWrap/>
            <w:hideMark/>
          </w:tcPr>
          <w:p w14:paraId="7B869C71" w14:textId="77777777" w:rsidR="00CE04DC" w:rsidRPr="00321BE4" w:rsidRDefault="00CE04DC" w:rsidP="002F09F0">
            <w:pPr>
              <w:jc w:val="both"/>
              <w:rPr>
                <w:rFonts w:ascii="Times New Roman" w:hAnsi="Times New Roman" w:cs="Times New Roman"/>
                <w:sz w:val="20"/>
                <w:szCs w:val="20"/>
              </w:rPr>
            </w:pPr>
            <m:oMathPara>
              <m:oMath>
                <m:r>
                  <w:rPr>
                    <w:rFonts w:ascii="Cambria Math" w:hAnsi="Cambria Math" w:cs="Times New Roman"/>
                    <w:sz w:val="20"/>
                    <w:szCs w:val="20"/>
                  </w:rPr>
                  <m:t>0.004</m:t>
                </m:r>
              </m:oMath>
            </m:oMathPara>
          </w:p>
        </w:tc>
      </w:tr>
      <w:tr w:rsidR="00CE04DC" w:rsidRPr="00321BE4" w14:paraId="07B33829" w14:textId="77777777" w:rsidTr="00815BFC">
        <w:trPr>
          <w:trHeight w:val="253"/>
          <w:jc w:val="center"/>
        </w:trPr>
        <w:tc>
          <w:tcPr>
            <w:tcW w:w="2834" w:type="pct"/>
            <w:noWrap/>
            <w:hideMark/>
          </w:tcPr>
          <w:p w14:paraId="25DFFA4C" w14:textId="77777777" w:rsidR="00CE04DC" w:rsidRPr="00321BE4" w:rsidRDefault="00CE04DC" w:rsidP="002F09F0">
            <w:pPr>
              <w:jc w:val="both"/>
              <w:rPr>
                <w:rFonts w:ascii="Times New Roman" w:hAnsi="Times New Roman" w:cs="Times New Roman"/>
                <w:sz w:val="20"/>
                <w:szCs w:val="20"/>
              </w:rPr>
            </w:pPr>
            <w:r w:rsidRPr="00321BE4">
              <w:rPr>
                <w:rFonts w:ascii="Times New Roman" w:hAnsi="Times New Roman" w:cs="Times New Roman"/>
                <w:sz w:val="20"/>
                <w:szCs w:val="20"/>
              </w:rPr>
              <w:t>Working mother stress ~ Spousal Support</w:t>
            </w:r>
          </w:p>
        </w:tc>
        <w:tc>
          <w:tcPr>
            <w:tcW w:w="1373" w:type="pct"/>
            <w:noWrap/>
            <w:hideMark/>
          </w:tcPr>
          <w:p w14:paraId="1C91F779" w14:textId="77777777" w:rsidR="00CE04DC" w:rsidRPr="00321BE4" w:rsidRDefault="00CE04DC" w:rsidP="002F09F0">
            <w:pPr>
              <w:jc w:val="both"/>
              <w:rPr>
                <w:rFonts w:ascii="Times New Roman" w:hAnsi="Times New Roman" w:cs="Times New Roman"/>
                <w:sz w:val="20"/>
                <w:szCs w:val="20"/>
              </w:rPr>
            </w:pPr>
            <m:oMathPara>
              <m:oMath>
                <m:r>
                  <w:rPr>
                    <w:rFonts w:ascii="Cambria Math" w:hAnsi="Cambria Math" w:cs="Times New Roman"/>
                    <w:sz w:val="20"/>
                    <w:szCs w:val="20"/>
                  </w:rPr>
                  <m:t>-0.1721691</m:t>
                </m:r>
              </m:oMath>
            </m:oMathPara>
          </w:p>
        </w:tc>
        <w:tc>
          <w:tcPr>
            <w:tcW w:w="793" w:type="pct"/>
            <w:noWrap/>
            <w:hideMark/>
          </w:tcPr>
          <w:p w14:paraId="26CFA9D6" w14:textId="77777777" w:rsidR="00CE04DC" w:rsidRPr="00321BE4" w:rsidRDefault="00CE04DC" w:rsidP="002F09F0">
            <w:pPr>
              <w:jc w:val="both"/>
              <w:rPr>
                <w:rFonts w:ascii="Times New Roman" w:hAnsi="Times New Roman" w:cs="Times New Roman"/>
                <w:sz w:val="20"/>
                <w:szCs w:val="20"/>
              </w:rPr>
            </w:pPr>
            <m:oMathPara>
              <m:oMath>
                <m:r>
                  <w:rPr>
                    <w:rFonts w:ascii="Cambria Math" w:hAnsi="Cambria Math" w:cs="Times New Roman"/>
                    <w:sz w:val="20"/>
                    <w:szCs w:val="20"/>
                  </w:rPr>
                  <m:t>&lt;0.001</m:t>
                </m:r>
              </m:oMath>
            </m:oMathPara>
          </w:p>
        </w:tc>
      </w:tr>
    </w:tbl>
    <w:p w14:paraId="017E1FF7" w14:textId="77777777" w:rsidR="00CE04DC" w:rsidRPr="00321BE4" w:rsidRDefault="00CE04DC" w:rsidP="00CE04DC">
      <w:pPr>
        <w:jc w:val="center"/>
        <w:rPr>
          <w:sz w:val="20"/>
          <w:szCs w:val="20"/>
        </w:rPr>
      </w:pPr>
    </w:p>
    <w:p w14:paraId="5E9CFA81" w14:textId="77777777" w:rsidR="00CE04DC" w:rsidRPr="00321BE4" w:rsidRDefault="00CE04DC" w:rsidP="00815BFC">
      <w:pPr>
        <w:spacing w:line="324" w:lineRule="auto"/>
        <w:jc w:val="both"/>
        <w:rPr>
          <w:b/>
          <w:bCs/>
          <w:sz w:val="20"/>
          <w:szCs w:val="20"/>
        </w:rPr>
      </w:pPr>
      <w:r w:rsidRPr="00321BE4">
        <w:rPr>
          <w:sz w:val="20"/>
          <w:szCs w:val="20"/>
        </w:rPr>
        <w:t>The goodness-of-fit statistics for the models related to working mother stress, depression, and Spousal support demonstrate excellent model fits, indicating strong alignment with the observed data. The comparative fit index (CFI), Tucker-</w:t>
      </w:r>
      <w:proofErr w:type="gramStart"/>
      <w:r w:rsidRPr="00321BE4">
        <w:rPr>
          <w:sz w:val="20"/>
          <w:szCs w:val="20"/>
        </w:rPr>
        <w:t>Lewis</w:t>
      </w:r>
      <w:proofErr w:type="gramEnd"/>
      <w:r w:rsidRPr="00321BE4">
        <w:rPr>
          <w:sz w:val="20"/>
          <w:szCs w:val="20"/>
        </w:rPr>
        <w:t xml:space="preserve"> index (TLI), and goodness-of-fit index (GFI) are all above 0.90, indicating strong agreement between the model and the observed data. Additionally, the Root Mean Square Error of Approximation (RMSEA) is at 0.035, which is admirable as it suggests only a small error margin between the model predictions and the actual observations. The RMSEA values for working mother stress (0.045), depression (0.035), and Spousal support (0.040) are well below the threshold of 0.05, suggesting minimal error in approximation. High CFI and TLI values for each model, 0.965 and 0.950 for working mother stress, 0.975 and 0.960 for depression, and 0.970 and 0.955 for Spousal support, further confirm that the models can capture the dynamics and complexities of mental health outcomes of the working mothers in relation to motherhood depression and Spousal support. The SRMR values (0.030 for working mother stress, 0.028 for depression, and 0.025 for Spousal support) indicate very good fits, with low discrepancies between predicted and observed correlations [</w:t>
      </w:r>
      <w:r w:rsidRPr="00321BE4">
        <w:rPr>
          <w:b/>
          <w:bCs/>
          <w:sz w:val="20"/>
          <w:szCs w:val="20"/>
        </w:rPr>
        <w:t>Table 5].</w:t>
      </w:r>
    </w:p>
    <w:p w14:paraId="47431469" w14:textId="77777777" w:rsidR="00CE04DC" w:rsidRPr="00321BE4" w:rsidRDefault="00CE04DC" w:rsidP="00CE04DC">
      <w:pPr>
        <w:jc w:val="both"/>
        <w:rPr>
          <w:sz w:val="20"/>
          <w:szCs w:val="20"/>
        </w:rPr>
      </w:pPr>
    </w:p>
    <w:p w14:paraId="7372D483" w14:textId="5222347B" w:rsidR="00CE04DC" w:rsidRDefault="00CE04DC" w:rsidP="00CE04DC">
      <w:pPr>
        <w:pStyle w:val="Caption"/>
        <w:keepNext/>
        <w:spacing w:line="240" w:lineRule="auto"/>
        <w:rPr>
          <w:color w:val="000000" w:themeColor="text1"/>
          <w:sz w:val="20"/>
          <w:szCs w:val="20"/>
        </w:rPr>
      </w:pPr>
      <w:bookmarkStart w:id="20" w:name="_Toc166993538"/>
      <w:r w:rsidRPr="00321BE4">
        <w:rPr>
          <w:color w:val="000000" w:themeColor="text1"/>
          <w:sz w:val="20"/>
          <w:szCs w:val="20"/>
        </w:rPr>
        <w:t>Table 5</w:t>
      </w:r>
      <w:r w:rsidR="00815BFC">
        <w:rPr>
          <w:color w:val="000000" w:themeColor="text1"/>
          <w:sz w:val="20"/>
          <w:szCs w:val="20"/>
        </w:rPr>
        <w:t>.</w:t>
      </w:r>
      <w:r w:rsidRPr="00321BE4">
        <w:rPr>
          <w:color w:val="000000" w:themeColor="text1"/>
          <w:sz w:val="20"/>
          <w:szCs w:val="20"/>
        </w:rPr>
        <w:t xml:space="preserve"> </w:t>
      </w:r>
      <w:r w:rsidRPr="00815BFC">
        <w:rPr>
          <w:b w:val="0"/>
          <w:bCs w:val="0"/>
          <w:color w:val="000000" w:themeColor="text1"/>
          <w:sz w:val="20"/>
          <w:szCs w:val="20"/>
        </w:rPr>
        <w:t xml:space="preserve">Goodness of </w:t>
      </w:r>
      <w:r w:rsidR="00815BFC">
        <w:rPr>
          <w:b w:val="0"/>
          <w:bCs w:val="0"/>
          <w:color w:val="000000" w:themeColor="text1"/>
          <w:sz w:val="20"/>
          <w:szCs w:val="20"/>
        </w:rPr>
        <w:t>F</w:t>
      </w:r>
      <w:r w:rsidRPr="00815BFC">
        <w:rPr>
          <w:b w:val="0"/>
          <w:bCs w:val="0"/>
          <w:color w:val="000000" w:themeColor="text1"/>
          <w:sz w:val="20"/>
          <w:szCs w:val="20"/>
        </w:rPr>
        <w:t xml:space="preserve">it </w:t>
      </w:r>
      <w:r w:rsidR="00815BFC">
        <w:rPr>
          <w:b w:val="0"/>
          <w:bCs w:val="0"/>
          <w:color w:val="000000" w:themeColor="text1"/>
          <w:sz w:val="20"/>
          <w:szCs w:val="20"/>
        </w:rPr>
        <w:t>S</w:t>
      </w:r>
      <w:r w:rsidRPr="00815BFC">
        <w:rPr>
          <w:b w:val="0"/>
          <w:bCs w:val="0"/>
          <w:color w:val="000000" w:themeColor="text1"/>
          <w:sz w:val="20"/>
          <w:szCs w:val="20"/>
        </w:rPr>
        <w:t xml:space="preserve">tatistics for the Structural Equation </w:t>
      </w:r>
      <w:r w:rsidR="00815BFC">
        <w:rPr>
          <w:b w:val="0"/>
          <w:bCs w:val="0"/>
          <w:color w:val="000000" w:themeColor="text1"/>
          <w:sz w:val="20"/>
          <w:szCs w:val="20"/>
        </w:rPr>
        <w:t>M</w:t>
      </w:r>
      <w:r w:rsidRPr="00815BFC">
        <w:rPr>
          <w:b w:val="0"/>
          <w:bCs w:val="0"/>
          <w:color w:val="000000" w:themeColor="text1"/>
          <w:sz w:val="20"/>
          <w:szCs w:val="20"/>
        </w:rPr>
        <w:t>odel</w:t>
      </w:r>
      <w:bookmarkEnd w:id="20"/>
    </w:p>
    <w:p w14:paraId="382B16A4" w14:textId="77777777" w:rsidR="00815BFC" w:rsidRPr="00815BFC" w:rsidRDefault="00815BFC" w:rsidP="00815BFC"/>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55"/>
        <w:gridCol w:w="1464"/>
        <w:gridCol w:w="1130"/>
        <w:gridCol w:w="1130"/>
        <w:gridCol w:w="1270"/>
      </w:tblGrid>
      <w:tr w:rsidR="00CE04DC" w:rsidRPr="00321BE4" w14:paraId="40C91E19" w14:textId="77777777" w:rsidTr="00815BFC">
        <w:trPr>
          <w:trHeight w:val="20"/>
        </w:trPr>
        <w:tc>
          <w:tcPr>
            <w:tcW w:w="1858" w:type="pct"/>
            <w:noWrap/>
            <w:hideMark/>
          </w:tcPr>
          <w:p w14:paraId="174F93AA" w14:textId="77777777" w:rsidR="00CE04DC" w:rsidRPr="00321BE4" w:rsidRDefault="00CE04DC" w:rsidP="002F09F0">
            <w:pPr>
              <w:jc w:val="both"/>
              <w:rPr>
                <w:b/>
                <w:bCs/>
                <w:color w:val="000000"/>
                <w:sz w:val="20"/>
                <w:szCs w:val="20"/>
              </w:rPr>
            </w:pPr>
            <w:r w:rsidRPr="00321BE4">
              <w:rPr>
                <w:b/>
                <w:bCs/>
                <w:color w:val="000000"/>
                <w:sz w:val="20"/>
                <w:szCs w:val="20"/>
              </w:rPr>
              <w:t>Fit Statistic</w:t>
            </w:r>
          </w:p>
        </w:tc>
        <w:tc>
          <w:tcPr>
            <w:tcW w:w="921" w:type="pct"/>
            <w:noWrap/>
            <w:hideMark/>
          </w:tcPr>
          <w:p w14:paraId="62E08DCA" w14:textId="77777777" w:rsidR="00CE04DC" w:rsidRPr="00321BE4" w:rsidRDefault="00CE04DC" w:rsidP="002F09F0">
            <w:pPr>
              <w:jc w:val="both"/>
              <w:rPr>
                <w:b/>
                <w:bCs/>
                <w:color w:val="000000"/>
                <w:sz w:val="20"/>
                <w:szCs w:val="20"/>
              </w:rPr>
            </w:pPr>
            <w:r w:rsidRPr="00321BE4">
              <w:rPr>
                <w:b/>
                <w:bCs/>
                <w:color w:val="000000"/>
                <w:sz w:val="20"/>
                <w:szCs w:val="20"/>
              </w:rPr>
              <w:t>RMSEA</w:t>
            </w:r>
          </w:p>
        </w:tc>
        <w:tc>
          <w:tcPr>
            <w:tcW w:w="711" w:type="pct"/>
            <w:noWrap/>
            <w:hideMark/>
          </w:tcPr>
          <w:p w14:paraId="5BAC5E97" w14:textId="77777777" w:rsidR="00CE04DC" w:rsidRPr="00321BE4" w:rsidRDefault="00CE04DC" w:rsidP="002F09F0">
            <w:pPr>
              <w:jc w:val="both"/>
              <w:rPr>
                <w:b/>
                <w:bCs/>
                <w:color w:val="000000"/>
                <w:sz w:val="20"/>
                <w:szCs w:val="20"/>
              </w:rPr>
            </w:pPr>
            <w:r w:rsidRPr="00321BE4">
              <w:rPr>
                <w:b/>
                <w:bCs/>
                <w:color w:val="000000"/>
                <w:sz w:val="20"/>
                <w:szCs w:val="20"/>
              </w:rPr>
              <w:t>CFI</w:t>
            </w:r>
          </w:p>
        </w:tc>
        <w:tc>
          <w:tcPr>
            <w:tcW w:w="711" w:type="pct"/>
            <w:noWrap/>
            <w:hideMark/>
          </w:tcPr>
          <w:p w14:paraId="7EB5A962" w14:textId="77777777" w:rsidR="00CE04DC" w:rsidRPr="00321BE4" w:rsidRDefault="00CE04DC" w:rsidP="002F09F0">
            <w:pPr>
              <w:jc w:val="both"/>
              <w:rPr>
                <w:b/>
                <w:bCs/>
                <w:color w:val="000000"/>
                <w:sz w:val="20"/>
                <w:szCs w:val="20"/>
              </w:rPr>
            </w:pPr>
            <w:r w:rsidRPr="00321BE4">
              <w:rPr>
                <w:b/>
                <w:bCs/>
                <w:color w:val="000000"/>
                <w:sz w:val="20"/>
                <w:szCs w:val="20"/>
              </w:rPr>
              <w:t>TLI</w:t>
            </w:r>
          </w:p>
        </w:tc>
        <w:tc>
          <w:tcPr>
            <w:tcW w:w="799" w:type="pct"/>
            <w:noWrap/>
            <w:hideMark/>
          </w:tcPr>
          <w:p w14:paraId="1A300F56" w14:textId="77777777" w:rsidR="00CE04DC" w:rsidRPr="00321BE4" w:rsidRDefault="00CE04DC" w:rsidP="002F09F0">
            <w:pPr>
              <w:jc w:val="both"/>
              <w:rPr>
                <w:b/>
                <w:bCs/>
                <w:color w:val="000000"/>
                <w:sz w:val="20"/>
                <w:szCs w:val="20"/>
              </w:rPr>
            </w:pPr>
            <w:r w:rsidRPr="00321BE4">
              <w:rPr>
                <w:b/>
                <w:bCs/>
                <w:color w:val="000000"/>
                <w:sz w:val="20"/>
                <w:szCs w:val="20"/>
              </w:rPr>
              <w:t>SRMR</w:t>
            </w:r>
          </w:p>
        </w:tc>
      </w:tr>
      <w:tr w:rsidR="00CE04DC" w:rsidRPr="00321BE4" w14:paraId="4D4AF56E" w14:textId="77777777" w:rsidTr="00815BFC">
        <w:trPr>
          <w:trHeight w:val="20"/>
        </w:trPr>
        <w:tc>
          <w:tcPr>
            <w:tcW w:w="1858" w:type="pct"/>
            <w:noWrap/>
            <w:hideMark/>
          </w:tcPr>
          <w:p w14:paraId="7E948656" w14:textId="77777777" w:rsidR="00CE04DC" w:rsidRPr="00321BE4" w:rsidRDefault="00CE04DC" w:rsidP="002F09F0">
            <w:pPr>
              <w:jc w:val="both"/>
              <w:rPr>
                <w:color w:val="000000"/>
                <w:sz w:val="20"/>
                <w:szCs w:val="20"/>
              </w:rPr>
            </w:pPr>
            <w:r w:rsidRPr="00321BE4">
              <w:rPr>
                <w:color w:val="000000"/>
                <w:sz w:val="20"/>
                <w:szCs w:val="20"/>
              </w:rPr>
              <w:t>Working mother stress</w:t>
            </w:r>
          </w:p>
        </w:tc>
        <w:tc>
          <w:tcPr>
            <w:tcW w:w="921" w:type="pct"/>
            <w:noWrap/>
            <w:hideMark/>
          </w:tcPr>
          <w:p w14:paraId="22F2889B"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0.045</m:t>
                </m:r>
              </m:oMath>
            </m:oMathPara>
          </w:p>
        </w:tc>
        <w:tc>
          <w:tcPr>
            <w:tcW w:w="711" w:type="pct"/>
            <w:noWrap/>
            <w:hideMark/>
          </w:tcPr>
          <w:p w14:paraId="4D6F636C"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0.965</m:t>
                </m:r>
              </m:oMath>
            </m:oMathPara>
          </w:p>
        </w:tc>
        <w:tc>
          <w:tcPr>
            <w:tcW w:w="711" w:type="pct"/>
            <w:noWrap/>
            <w:hideMark/>
          </w:tcPr>
          <w:p w14:paraId="4545FA27"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0.950</m:t>
                </m:r>
              </m:oMath>
            </m:oMathPara>
          </w:p>
        </w:tc>
        <w:tc>
          <w:tcPr>
            <w:tcW w:w="799" w:type="pct"/>
            <w:noWrap/>
            <w:hideMark/>
          </w:tcPr>
          <w:p w14:paraId="289A94CB"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0.030</m:t>
                </m:r>
              </m:oMath>
            </m:oMathPara>
          </w:p>
        </w:tc>
      </w:tr>
      <w:tr w:rsidR="00CE04DC" w:rsidRPr="00321BE4" w14:paraId="5E16AE16" w14:textId="77777777" w:rsidTr="00815BFC">
        <w:trPr>
          <w:trHeight w:val="20"/>
        </w:trPr>
        <w:tc>
          <w:tcPr>
            <w:tcW w:w="1858" w:type="pct"/>
            <w:noWrap/>
            <w:hideMark/>
          </w:tcPr>
          <w:p w14:paraId="4FB653F4" w14:textId="77777777" w:rsidR="00CE04DC" w:rsidRPr="00321BE4" w:rsidRDefault="00CE04DC" w:rsidP="002F09F0">
            <w:pPr>
              <w:jc w:val="both"/>
              <w:rPr>
                <w:color w:val="000000"/>
                <w:sz w:val="20"/>
                <w:szCs w:val="20"/>
              </w:rPr>
            </w:pPr>
            <w:r w:rsidRPr="00321BE4">
              <w:rPr>
                <w:color w:val="000000"/>
                <w:sz w:val="20"/>
                <w:szCs w:val="20"/>
              </w:rPr>
              <w:t>Depression</w:t>
            </w:r>
          </w:p>
        </w:tc>
        <w:tc>
          <w:tcPr>
            <w:tcW w:w="921" w:type="pct"/>
            <w:noWrap/>
            <w:hideMark/>
          </w:tcPr>
          <w:p w14:paraId="20BF8D10"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0.035</m:t>
                </m:r>
              </m:oMath>
            </m:oMathPara>
          </w:p>
        </w:tc>
        <w:tc>
          <w:tcPr>
            <w:tcW w:w="711" w:type="pct"/>
            <w:noWrap/>
            <w:hideMark/>
          </w:tcPr>
          <w:p w14:paraId="6F9354FC"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0.975</m:t>
                </m:r>
              </m:oMath>
            </m:oMathPara>
          </w:p>
        </w:tc>
        <w:tc>
          <w:tcPr>
            <w:tcW w:w="711" w:type="pct"/>
            <w:noWrap/>
            <w:hideMark/>
          </w:tcPr>
          <w:p w14:paraId="02302DE7"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0.960</m:t>
                </m:r>
              </m:oMath>
            </m:oMathPara>
          </w:p>
        </w:tc>
        <w:tc>
          <w:tcPr>
            <w:tcW w:w="799" w:type="pct"/>
            <w:noWrap/>
            <w:hideMark/>
          </w:tcPr>
          <w:p w14:paraId="0D5DAF31"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0.028</m:t>
                </m:r>
              </m:oMath>
            </m:oMathPara>
          </w:p>
        </w:tc>
      </w:tr>
      <w:tr w:rsidR="00CE04DC" w:rsidRPr="00321BE4" w14:paraId="5041CA0C" w14:textId="77777777" w:rsidTr="00815BFC">
        <w:trPr>
          <w:trHeight w:val="20"/>
        </w:trPr>
        <w:tc>
          <w:tcPr>
            <w:tcW w:w="1858" w:type="pct"/>
            <w:noWrap/>
            <w:hideMark/>
          </w:tcPr>
          <w:p w14:paraId="2721772F" w14:textId="77777777" w:rsidR="00CE04DC" w:rsidRPr="00321BE4" w:rsidRDefault="00CE04DC" w:rsidP="002F09F0">
            <w:pPr>
              <w:jc w:val="both"/>
              <w:rPr>
                <w:color w:val="000000"/>
                <w:sz w:val="20"/>
                <w:szCs w:val="20"/>
              </w:rPr>
            </w:pPr>
            <w:r w:rsidRPr="00321BE4">
              <w:rPr>
                <w:color w:val="000000"/>
                <w:sz w:val="20"/>
                <w:szCs w:val="20"/>
              </w:rPr>
              <w:t>Spousal support</w:t>
            </w:r>
          </w:p>
        </w:tc>
        <w:tc>
          <w:tcPr>
            <w:tcW w:w="921" w:type="pct"/>
            <w:noWrap/>
            <w:hideMark/>
          </w:tcPr>
          <w:p w14:paraId="49E5FCD9"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0.040</m:t>
                </m:r>
              </m:oMath>
            </m:oMathPara>
          </w:p>
        </w:tc>
        <w:tc>
          <w:tcPr>
            <w:tcW w:w="711" w:type="pct"/>
            <w:noWrap/>
            <w:hideMark/>
          </w:tcPr>
          <w:p w14:paraId="1721E235"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0.970</m:t>
                </m:r>
              </m:oMath>
            </m:oMathPara>
          </w:p>
        </w:tc>
        <w:tc>
          <w:tcPr>
            <w:tcW w:w="711" w:type="pct"/>
            <w:noWrap/>
            <w:hideMark/>
          </w:tcPr>
          <w:p w14:paraId="09EFC8C6"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0.955</m:t>
                </m:r>
              </m:oMath>
            </m:oMathPara>
          </w:p>
        </w:tc>
        <w:tc>
          <w:tcPr>
            <w:tcW w:w="799" w:type="pct"/>
            <w:noWrap/>
            <w:hideMark/>
          </w:tcPr>
          <w:p w14:paraId="4EF60C46"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0.025</m:t>
                </m:r>
              </m:oMath>
            </m:oMathPara>
          </w:p>
        </w:tc>
      </w:tr>
      <w:tr w:rsidR="00CE04DC" w:rsidRPr="00321BE4" w14:paraId="2B62C917" w14:textId="77777777" w:rsidTr="00815BFC">
        <w:trPr>
          <w:trHeight w:val="20"/>
        </w:trPr>
        <w:tc>
          <w:tcPr>
            <w:tcW w:w="1858" w:type="pct"/>
            <w:noWrap/>
          </w:tcPr>
          <w:p w14:paraId="06F1086D" w14:textId="77777777" w:rsidR="00CE04DC" w:rsidRPr="00321BE4" w:rsidRDefault="00CE04DC" w:rsidP="002F09F0">
            <w:pPr>
              <w:jc w:val="both"/>
              <w:rPr>
                <w:color w:val="000000"/>
                <w:sz w:val="20"/>
                <w:szCs w:val="20"/>
              </w:rPr>
            </w:pPr>
            <w:r w:rsidRPr="00321BE4">
              <w:rPr>
                <w:color w:val="000000"/>
                <w:sz w:val="20"/>
                <w:szCs w:val="20"/>
              </w:rPr>
              <w:t>Interrelationship</w:t>
            </w:r>
          </w:p>
        </w:tc>
        <w:tc>
          <w:tcPr>
            <w:tcW w:w="921" w:type="pct"/>
            <w:noWrap/>
          </w:tcPr>
          <w:p w14:paraId="67DCFDCF"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0.035</m:t>
                </m:r>
              </m:oMath>
            </m:oMathPara>
          </w:p>
        </w:tc>
        <w:tc>
          <w:tcPr>
            <w:tcW w:w="711" w:type="pct"/>
            <w:noWrap/>
          </w:tcPr>
          <w:p w14:paraId="2401E197"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0.907</m:t>
                </m:r>
              </m:oMath>
            </m:oMathPara>
          </w:p>
        </w:tc>
        <w:tc>
          <w:tcPr>
            <w:tcW w:w="711" w:type="pct"/>
            <w:noWrap/>
          </w:tcPr>
          <w:p w14:paraId="77382D34"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0.922</m:t>
                </m:r>
              </m:oMath>
            </m:oMathPara>
          </w:p>
        </w:tc>
        <w:tc>
          <w:tcPr>
            <w:tcW w:w="799" w:type="pct"/>
            <w:noWrap/>
          </w:tcPr>
          <w:p w14:paraId="412B0B71" w14:textId="77777777" w:rsidR="00CE04DC" w:rsidRPr="00321BE4" w:rsidRDefault="00CE04DC" w:rsidP="002F09F0">
            <w:pPr>
              <w:jc w:val="both"/>
              <w:rPr>
                <w:rFonts w:ascii="Cambria Math" w:hAnsi="Cambria Math"/>
                <w:color w:val="000000"/>
                <w:sz w:val="20"/>
                <w:szCs w:val="20"/>
                <w:oMath/>
              </w:rPr>
            </w:pPr>
            <m:oMathPara>
              <m:oMath>
                <m:r>
                  <w:rPr>
                    <w:rFonts w:ascii="Cambria Math" w:hAnsi="Cambria Math"/>
                    <w:color w:val="000000"/>
                    <w:sz w:val="20"/>
                    <w:szCs w:val="20"/>
                  </w:rPr>
                  <m:t>0.032</m:t>
                </m:r>
              </m:oMath>
            </m:oMathPara>
          </w:p>
        </w:tc>
      </w:tr>
    </w:tbl>
    <w:p w14:paraId="07C9456F" w14:textId="77777777" w:rsidR="00CE04DC" w:rsidRPr="00321BE4" w:rsidRDefault="00CE04DC" w:rsidP="00CE04DC">
      <w:pPr>
        <w:rPr>
          <w:b/>
          <w:bCs/>
          <w:sz w:val="20"/>
          <w:szCs w:val="20"/>
        </w:rPr>
      </w:pPr>
      <w:bookmarkStart w:id="21" w:name="_Toc166993751"/>
    </w:p>
    <w:p w14:paraId="4F797124" w14:textId="77777777" w:rsidR="00CE04DC" w:rsidRDefault="00CE04DC" w:rsidP="00CE04DC">
      <w:pPr>
        <w:pStyle w:val="ListParagraph"/>
        <w:numPr>
          <w:ilvl w:val="0"/>
          <w:numId w:val="25"/>
        </w:numPr>
        <w:spacing w:after="0" w:line="240" w:lineRule="auto"/>
        <w:ind w:left="360"/>
        <w:rPr>
          <w:rFonts w:ascii="Times New Roman" w:hAnsi="Times New Roman" w:cs="Times New Roman"/>
          <w:b/>
          <w:bCs/>
          <w:sz w:val="20"/>
          <w:szCs w:val="20"/>
        </w:rPr>
      </w:pPr>
      <w:r w:rsidRPr="00321BE4">
        <w:rPr>
          <w:rFonts w:ascii="Times New Roman" w:hAnsi="Times New Roman" w:cs="Times New Roman"/>
          <w:b/>
          <w:bCs/>
          <w:sz w:val="20"/>
          <w:szCs w:val="20"/>
        </w:rPr>
        <w:t>Discussion</w:t>
      </w:r>
      <w:bookmarkEnd w:id="21"/>
    </w:p>
    <w:p w14:paraId="1FAA6866" w14:textId="77777777" w:rsidR="00815BFC" w:rsidRPr="00321BE4" w:rsidRDefault="00815BFC" w:rsidP="00815BFC">
      <w:pPr>
        <w:pStyle w:val="ListParagraph"/>
        <w:spacing w:after="0" w:line="240" w:lineRule="auto"/>
        <w:ind w:left="360"/>
        <w:rPr>
          <w:rFonts w:ascii="Times New Roman" w:hAnsi="Times New Roman" w:cs="Times New Roman"/>
          <w:b/>
          <w:bCs/>
          <w:sz w:val="20"/>
          <w:szCs w:val="20"/>
        </w:rPr>
      </w:pPr>
    </w:p>
    <w:p w14:paraId="00F6464D" w14:textId="77777777" w:rsidR="00CE04DC" w:rsidRPr="00321BE4" w:rsidRDefault="00CE04DC" w:rsidP="00815BFC">
      <w:pPr>
        <w:spacing w:line="324" w:lineRule="auto"/>
        <w:jc w:val="both"/>
        <w:rPr>
          <w:sz w:val="20"/>
          <w:szCs w:val="20"/>
        </w:rPr>
      </w:pPr>
      <w:r w:rsidRPr="00321BE4">
        <w:rPr>
          <w:sz w:val="20"/>
          <w:szCs w:val="20"/>
        </w:rPr>
        <w:t xml:space="preserve">The interaction of stress from motherhood, depression, and spousal support is crucial for understanding mental health in working mothers. As social expectations change, the combined challenges of work and family life create unique pressures on this group. Previous research has highlighted the link between these stressors and mental health, yet there is still more to discover about how these factors interact, particularly among mothers with higher education and better socioeconomic status </w:t>
      </w:r>
      <w:r w:rsidRPr="00321BE4">
        <w:rPr>
          <w:sz w:val="20"/>
          <w:szCs w:val="20"/>
        </w:rPr>
        <w:fldChar w:fldCharType="begin"/>
      </w:r>
      <w:r w:rsidRPr="00321BE4">
        <w:rPr>
          <w:sz w:val="20"/>
          <w:szCs w:val="20"/>
        </w:rPr>
        <w:instrText xml:space="preserve"> ADDIN ZOTERO_ITEM CSL_CITATION {"citationID":"fynfE9uS","properties":{"formattedCitation":"(Byatt &amp; Yonkers, 2021)","plainCitation":"(Byatt &amp; Yonkers, 2021)","noteIndex":0},"citationItems":[{"id":59,"uris":["http://zotero.org/users/local/66j4yoWm/items/WWQVFVAY"],"itemData":{"id":59,"type":"article-journal","container-title":"Psychiatric News","DOI":"10.1176/appi.pn.2021.4.7","journalAbbreviation":"Psychiatric News","source":"ResearchGate","title":"Addressing Maternal Mental Health: Progress, Challenges, and Potential Solutions","title-short":"Addressing Maternal Mental Health","volume":"56","author":[{"family":"Byatt","given":"Nancy"},{"family":"Yonkers","given":"Kimberly"}],"issued":{"date-parts":[["2021",4,1]]}}}],"schema":"https://github.com/citation-style-language/schema/raw/master/csl-citation.json"} </w:instrText>
      </w:r>
      <w:r w:rsidRPr="00321BE4">
        <w:rPr>
          <w:sz w:val="20"/>
          <w:szCs w:val="20"/>
        </w:rPr>
        <w:fldChar w:fldCharType="separate"/>
      </w:r>
      <w:r w:rsidRPr="00321BE4">
        <w:rPr>
          <w:sz w:val="20"/>
          <w:szCs w:val="20"/>
        </w:rPr>
        <w:t>(Byatt &amp; Yonkers, 2021;</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{"citationID":"pP4p34lS","properties":{"formattedCitation":"(Montagnoli et al., 2020)","plainCitation":"(Montagnoli et al., 2020)","noteIndex":0},"citationItems":[{"id":"SSZb5cTy/agGtfvIa","uris":["http://zotero.org/users/local/66j4yoWm/items/N7M683MC"],"itemData":{"id":62,"type":"article-journal","abstract":"PURPOSE: Current data show that maternal mental conditions affect about 10% of pregnant women worldwide. Assessing timing and patterns of mental health illness,  therefore, is critical to ensure the wellbeing of the mother, the new-born and  the whole family. The aim of this review is to summarize the latest evidence  linking maternal mental disorders and adverse reproductive outcomes. METHODS:  Following the PRISMA guidelines for systematic reviews, a literature search was  conducted to ascertain the possible impact of mental health conditions on  reproductive outcomes before and during pregnancy. The comprehensive strategy  included cohort studies, randomised controlled trials and literature reviews on  women with Primary Maternal Mental Illness (PMMI) and Secondary Maternal Mental  Illness (SMMI) considering periconceptional, obstetric and foetal-neonatal  outcomes. PubMed, WoS, CINAHL and Google scholar were used for the search.  Cross-referencing in bibliographies of the selected papers ensured wider study  capture. RESULTS: Evidence linking depressive disorders and infertility among  PMMI is weak. Given this, women with prior mental conditions experience  additional distress when undergoing fertility treatments. Primary mental  disorders may also increase the risk of miscarriage and other pregnancy  complications (e.g., gestational diabetes). For SMMI, there is more robust  evidence correlating Preterm Birth (PTB) and Low Birth Weight (LBW) with common  mental disorders which develop during pregnancy. CONCLUSION: Prevention and  management of maternal mental health diseases and minor mental conditions within  the first 1000 days' timeframe, should have a place in the holistic approach to  women going through reproductive decisions, infertility treatment and pregnancy.","container-title":"Archives of gynecology and obstetrics","DOI":"10.1007/s00404-020-05685-1","ISSN":"1432-0711 0932-0067","issue":"4","journalAbbreviation":"Arch Gynecol Obstet","language":"eng","note":"publisher-place: Germany\nPMID: 32671543","page":"801-819","title":"Maternal mental health and reproductive outcomes: a scoping review of the current literature.","volume":"302","author":[{"family":"Montagnoli","given":"Caterina"},{"family":"Zanconato","given":"Giovanni"},{"family":"Cinelli","given":"Giulia"},{"family":"Tozzi","given":"Alberto Eugenio"},{"family":"Bovo","given":"Chiara"},{"family":"Bortolus","given":"Renata"},{"family":"Ruggeri","given":"Stefania"}],"issued":{"date-parts":[["2020",10]]}}}],"schema":"https://github.com/citation-style-language/schema/raw/master/csl-citation.json"} </w:instrText>
      </w:r>
      <w:r w:rsidRPr="00321BE4">
        <w:rPr>
          <w:sz w:val="20"/>
          <w:szCs w:val="20"/>
        </w:rPr>
        <w:fldChar w:fldCharType="separate"/>
      </w:r>
      <w:r w:rsidRPr="00321BE4">
        <w:rPr>
          <w:sz w:val="20"/>
          <w:szCs w:val="20"/>
        </w:rPr>
        <w:t>Montagnoli et al., 2020)</w:t>
      </w:r>
      <w:r w:rsidRPr="00321BE4">
        <w:rPr>
          <w:sz w:val="20"/>
          <w:szCs w:val="20"/>
        </w:rPr>
        <w:fldChar w:fldCharType="end"/>
      </w:r>
      <w:r w:rsidRPr="00321BE4">
        <w:rPr>
          <w:sz w:val="20"/>
          <w:szCs w:val="20"/>
        </w:rPr>
        <w:t xml:space="preserve">. </w:t>
      </w:r>
    </w:p>
    <w:p w14:paraId="02F3B1BF" w14:textId="77777777" w:rsidR="00CE04DC" w:rsidRPr="00321BE4" w:rsidRDefault="00CE04DC" w:rsidP="00CE04DC">
      <w:pPr>
        <w:jc w:val="both"/>
        <w:rPr>
          <w:sz w:val="20"/>
          <w:szCs w:val="20"/>
        </w:rPr>
      </w:pPr>
    </w:p>
    <w:p w14:paraId="59F6A196" w14:textId="77777777" w:rsidR="00CE04DC" w:rsidRPr="00321BE4" w:rsidRDefault="00CE04DC" w:rsidP="00815BFC">
      <w:pPr>
        <w:spacing w:line="324" w:lineRule="auto"/>
        <w:jc w:val="both"/>
        <w:rPr>
          <w:sz w:val="20"/>
          <w:szCs w:val="20"/>
        </w:rPr>
      </w:pPr>
      <w:r w:rsidRPr="00321BE4">
        <w:rPr>
          <w:sz w:val="20"/>
          <w:szCs w:val="20"/>
        </w:rPr>
        <w:t xml:space="preserve">Our findings from the Working Mother Stress Scale highlight items like 'feeling overwhelmed by responsibilities’ as indicative of high stress levels, suggesting the need for targeted time management and stress reduction interventions. From the PHQ-9, significant predictors such as 'feeling down, depressed, or hopeless' underscore the necessity for accessible workplace mental health services, including therapy and wellness programs. Furthermore, results from the Spousal Support Scale reveal that ‘emotional support from spouses’ and ‘sharing of household responsibilities' are pivotal in mitigating stress and depression. This points to the potential benefits of couple-focused interventions that promote supportive partnerships to alleviate the mental burden on working mothers. By focusing on these significant scale items, our study aims to guide effective mental health interventions and support systems tailored to the needs of young working mothers, thereby enriching both theoretical understanding and practical applications in this area. </w:t>
      </w:r>
    </w:p>
    <w:p w14:paraId="65A1DB7B" w14:textId="77777777" w:rsidR="00CE04DC" w:rsidRPr="00321BE4" w:rsidRDefault="00CE04DC" w:rsidP="00CE04DC">
      <w:pPr>
        <w:jc w:val="both"/>
        <w:rPr>
          <w:sz w:val="20"/>
          <w:szCs w:val="20"/>
        </w:rPr>
      </w:pPr>
    </w:p>
    <w:p w14:paraId="0D6DE311" w14:textId="77777777" w:rsidR="00CE04DC" w:rsidRPr="00321BE4" w:rsidRDefault="00CE04DC" w:rsidP="00815BFC">
      <w:pPr>
        <w:spacing w:line="324" w:lineRule="auto"/>
        <w:jc w:val="both"/>
        <w:rPr>
          <w:sz w:val="20"/>
          <w:szCs w:val="20"/>
        </w:rPr>
      </w:pPr>
      <w:r w:rsidRPr="00321BE4">
        <w:rPr>
          <w:sz w:val="20"/>
          <w:szCs w:val="20"/>
        </w:rPr>
        <w:t xml:space="preserve">This study consisted of 275 young, working mothers, with an average age of approximately 30.87 years. The young age and high educational attainment of the cohort (over 76% holding postgraduate degrees) are significant, as they may influence key aspects of their personal and professional development, potentially affecting their experiences of stress and work-life balance. The participants' diverse employment statuses and predominance in nuclear family settings may influence their experiences of stress and support, shedding light on the socio-economic factors that could mediate mental health outcomes </w:t>
      </w:r>
      <w:r w:rsidRPr="00321BE4">
        <w:rPr>
          <w:sz w:val="20"/>
          <w:szCs w:val="20"/>
        </w:rPr>
        <w:fldChar w:fldCharType="begin"/>
      </w:r>
      <w:r w:rsidRPr="00321BE4">
        <w:rPr>
          <w:sz w:val="20"/>
          <w:szCs w:val="20"/>
        </w:rPr>
        <w:instrText xml:space="preserve"> ADDIN ZOTERO_ITEM CSL_CITATION {"citationID":"v8Y2QcFQ","properties":{"formattedCitation":"(Weiss &amp; Xu, 2024)","plainCitation":"(Weiss &amp; Xu, 2024)","noteIndex":0},"citationItems":[{"id":61,"uris":["http://zotero.org/users/local/66j4yoWm/items/JJFIRUU6"],"itemData":{"id":61,"type":"article-journal","abstract":"PURPOSE: Women are at high risk of stress, anxiety, and depression during the postpartum but the ways in which these different types of psychological distress  are related to cortisol regulation is not clear. We examined the distinct  association of each type of distress with women's average cortisol level,  cortisol awakening response (CAR), cortisol decline across the day (diurnal  slope), and overall amount of cortisol secretion across the day (AUC(G)).  METHODS: At 6 months postpartum, a diverse group of 58 women completed measures  of depression, anxiety, perceived stress, and life stressors. Each woman provided  4 salivary samples for cortisol assay from waking to bedtime on each of 2  consecutive days. Linear regressions were used to examine associations of stress,  anxiety and depression to each of the 4 cortisol measures, controlling for number  of stressful life events. RESULTS: Depressive symptoms were associated with less  of a rise in the CAR (β = -.46, p = 0.01), steeper diurnal slope (β = .51,  p = 0.006), and higher average cortisol level (β = .42, p = .01). Women who met  the clinical cutoff for an anxiety disorder had lower overall cortisol output  (β = -.29, p = 0.03). Stress was not related to any cortisol metric. CONCLUSIONS:  Findings suggest that stress is less associated with cortisol alterations in the  postpartum than are more severe types of psychological distress. Anxiety and  depression may have distinct and opposite profiles of cortisol dysregulation.  Results indicate that mental health assessment is critical even in the later  postpartum so that interventions can be initiated to reduce emotional suffering  and the risk of impaired cortisol regulation.","container-title":"Archives of women's mental health","DOI":"10.1007/s00737-024-01421-9","ISSN":"1435-1102 1434-1816","journalAbbreviation":"Arch Womens Ment Health","language":"eng","license":"© 2024. The Author(s).","note":"publisher-place: Austria\nPMID: 38214755","title":"Postpartum symptoms of anxiety, depression and stress: differential relationships to women's cortisol profiles.","author":[{"family":"Weiss","given":"Sandra J."},{"family":"Xu","given":"Ling"}],"issued":{"date-parts":[["2024",1,12]]}}}],"schema":"https://github.com/citation-style-language/schema/raw/master/csl-citation.json"} </w:instrText>
      </w:r>
      <w:r w:rsidRPr="00321BE4">
        <w:rPr>
          <w:sz w:val="20"/>
          <w:szCs w:val="20"/>
        </w:rPr>
        <w:fldChar w:fldCharType="separate"/>
      </w:r>
      <w:r w:rsidRPr="00321BE4">
        <w:rPr>
          <w:sz w:val="20"/>
          <w:szCs w:val="20"/>
        </w:rPr>
        <w:t>(Weiss &amp; Xu, 2024)</w:t>
      </w:r>
      <w:r w:rsidRPr="00321BE4">
        <w:rPr>
          <w:sz w:val="20"/>
          <w:szCs w:val="20"/>
        </w:rPr>
        <w:fldChar w:fldCharType="end"/>
      </w:r>
      <w:r w:rsidRPr="00321BE4">
        <w:rPr>
          <w:sz w:val="20"/>
          <w:szCs w:val="20"/>
        </w:rPr>
        <w:t>.</w:t>
      </w:r>
    </w:p>
    <w:p w14:paraId="4BACAD6F" w14:textId="77777777" w:rsidR="00CE04DC" w:rsidRPr="00321BE4" w:rsidRDefault="00CE04DC" w:rsidP="00CE04DC">
      <w:pPr>
        <w:jc w:val="both"/>
        <w:rPr>
          <w:sz w:val="20"/>
          <w:szCs w:val="20"/>
        </w:rPr>
      </w:pPr>
    </w:p>
    <w:p w14:paraId="3A86663F" w14:textId="77777777" w:rsidR="00CE04DC" w:rsidRPr="00321BE4" w:rsidRDefault="00CE04DC" w:rsidP="00815BFC">
      <w:pPr>
        <w:spacing w:line="324" w:lineRule="auto"/>
        <w:jc w:val="both"/>
        <w:rPr>
          <w:sz w:val="20"/>
          <w:szCs w:val="20"/>
        </w:rPr>
      </w:pPr>
      <w:r w:rsidRPr="00321BE4">
        <w:rPr>
          <w:sz w:val="20"/>
          <w:szCs w:val="20"/>
        </w:rPr>
        <w:t xml:space="preserve">The Exploratory Factor Analysis highlighted some inconsistencies within the Working Mother Stress Scale, suggesting that some items (for example: WMS3, WMS9, WMS10, and WMS12) that were considered in the initial analysis might not fit well with the theoretical concept of working mother stress. This misalignment suggests the need for revisiting the scale’s content validity in similar populations. Conversely, the PHQ-9 and Spousal Support Scales showed strong factor loadings across their items, reinforcing their reliability and validity for measuring depression and Spousal support. </w:t>
      </w:r>
      <w:r w:rsidRPr="00321BE4">
        <w:rPr>
          <w:sz w:val="20"/>
          <w:szCs w:val="20"/>
        </w:rPr>
        <w:fldChar w:fldCharType="begin"/>
      </w:r>
      <w:r w:rsidRPr="00321BE4">
        <w:rPr>
          <w:sz w:val="20"/>
          <w:szCs w:val="20"/>
        </w:rPr>
        <w:instrText xml:space="preserve"> ADDIN ZOTERO_ITEM CSL_CITATION {"citationID":"JodTNWHQ","properties":{"formattedCitation":"(Ilska &amp; Przyby\\uc0\\u322{}a-Basista, 2017)","plainCitation":"(Ilska &amp; Przybyła-Basista, 2017)","noteIndex":0},"citationItems":[{"id":23,"uris":["http://zotero.org/users/local/66j4yoWm/items/7GCNZKUS"],"itemData":{"id":23,"type":"article-journal","abstract":"(2017) Ilska, Przybyła-Basista. Health Psychology Report. Background Pregnant women’s psychological well-being affects their emotional state, which in turn has a significant impact on fetal develop...","container-title":"Health Psychology Report","DOI":"10.5114/hpr.2017.68235","ISSN":"2353-4184","issue":"4","language":"en-GB","note":"number: 4","page":"285-295","source":"www.mendeley.com","title":"Partner support as a mediator of the relationship between prenatal concerns and psychological well-being in pregnant women","volume":"5","author":[{"family":"Ilska","given":"Michalina"},{"family":"Przybyła-Basista","given":"Hanna"}],"issued":{"date-parts":[["2017"]]}}}],"schema":"https://github.com/citation-style-language/schema/raw/master/csl-citation.json"} </w:instrText>
      </w:r>
      <w:r w:rsidRPr="00321BE4">
        <w:rPr>
          <w:sz w:val="20"/>
          <w:szCs w:val="20"/>
        </w:rPr>
        <w:fldChar w:fldCharType="separate"/>
      </w:r>
      <w:r w:rsidRPr="00321BE4">
        <w:rPr>
          <w:sz w:val="20"/>
          <w:szCs w:val="20"/>
        </w:rPr>
        <w:t>(Ilska &amp; Przybyła-Basista, 2017;</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{"citationID":"vKEANZe2","properties":{"formattedCitation":"(Weiss &amp; Xu, 2024)","plainCitation":"(Weiss &amp; Xu, 2024)","noteIndex":0},"citationItems":[{"id":61,"uris":["http://zotero.org/users/local/66j4yoWm/items/JJFIRUU6"],"itemData":{"id":61,"type":"article-journal","abstract":"PURPOSE: Women are at high risk of stress, anxiety, and depression during the postpartum but the ways in which these different types of psychological distress  are related to cortisol regulation is not clear. We examined the distinct  association of each type of distress with women's average cortisol level,  cortisol awakening response (CAR), cortisol decline across the day (diurnal  slope), and overall amount of cortisol secretion across the day (AUC(G)).  METHODS: At 6 months postpartum, a diverse group of 58 women completed measures  of depression, anxiety, perceived stress, and life stressors. Each woman provided  4 salivary samples for cortisol assay from waking to bedtime on each of 2  consecutive days. Linear regressions were used to examine associations of stress,  anxiety and depression to each of the 4 cortisol measures, controlling for number  of stressful life events. RESULTS: Depressive symptoms were associated with less  of a rise in the CAR (β = -.46, p = 0.01), steeper diurnal slope (β = .51,  p = 0.006), and higher average cortisol level (β = .42, p = .01). Women who met  the clinical cutoff for an anxiety disorder had lower overall cortisol output  (β = -.29, p = 0.03). Stress was not related to any cortisol metric. CONCLUSIONS:  Findings suggest that stress is less associated with cortisol alterations in the  postpartum than are more severe types of psychological distress. Anxiety and  depression may have distinct and opposite profiles of cortisol dysregulation.  Results indicate that mental health assessment is critical even in the later  postpartum so that interventions can be initiated to reduce emotional suffering  and the risk of impaired cortisol regulation.","container-title":"Archives of women's mental health","DOI":"10.1007/s00737-024-01421-9","ISSN":"1435-1102 1434-1816","journalAbbreviation":"Arch Womens Ment Health","language":"eng","license":"© 2024. The Author(s).","note":"publisher-place: Austria\nPMID: 38214755","title":"Postpartum symptoms of anxiety, depression and stress: differential relationships to women's cortisol profiles.","author":[{"family":"Weiss","given":"Sandra J."},{"family":"Xu","given":"Ling"}],"issued":{"date-parts":[["2024",1,12]]}}}],"schema":"https://github.com/citation-style-language/schema/raw/master/csl-citation.json"} </w:instrText>
      </w:r>
      <w:r w:rsidRPr="00321BE4">
        <w:rPr>
          <w:sz w:val="20"/>
          <w:szCs w:val="20"/>
        </w:rPr>
        <w:fldChar w:fldCharType="separate"/>
      </w:r>
      <w:r w:rsidRPr="00321BE4">
        <w:rPr>
          <w:sz w:val="20"/>
          <w:szCs w:val="20"/>
        </w:rPr>
        <w:t>Weiss &amp; Xu, 2024)</w:t>
      </w:r>
      <w:r w:rsidRPr="00321BE4">
        <w:rPr>
          <w:sz w:val="20"/>
          <w:szCs w:val="20"/>
        </w:rPr>
        <w:fldChar w:fldCharType="end"/>
      </w:r>
      <w:r w:rsidRPr="00321BE4">
        <w:rPr>
          <w:sz w:val="20"/>
          <w:szCs w:val="20"/>
        </w:rPr>
        <w:t>.</w:t>
      </w:r>
    </w:p>
    <w:p w14:paraId="510D6071" w14:textId="77777777" w:rsidR="00CE04DC" w:rsidRPr="00321BE4" w:rsidRDefault="00CE04DC" w:rsidP="00CE04DC">
      <w:pPr>
        <w:jc w:val="both"/>
        <w:rPr>
          <w:sz w:val="20"/>
          <w:szCs w:val="20"/>
        </w:rPr>
      </w:pPr>
    </w:p>
    <w:p w14:paraId="0939BBED" w14:textId="77777777" w:rsidR="00CE04DC" w:rsidRPr="00321BE4" w:rsidRDefault="00CE04DC" w:rsidP="00815BFC">
      <w:pPr>
        <w:spacing w:line="324" w:lineRule="auto"/>
        <w:jc w:val="both"/>
        <w:rPr>
          <w:sz w:val="20"/>
          <w:szCs w:val="20"/>
        </w:rPr>
      </w:pPr>
      <w:r w:rsidRPr="00321BE4">
        <w:rPr>
          <w:sz w:val="20"/>
          <w:szCs w:val="20"/>
        </w:rPr>
        <w:t xml:space="preserve">The Item Response Theory analysis confirmed that most items on the PHQ-9 and select items on the Working Mother Stress Scale have high discrimination power, effectively distinguishing between varying degrees of symptom severity. However, the negative discrimination values observed for some items on the Working Mother Stress Scale raise concerns about their efficacy and relevance, potentially indicating issues with either the item design or the underlying construct definition </w:t>
      </w:r>
      <w:r w:rsidRPr="00321BE4">
        <w:rPr>
          <w:sz w:val="20"/>
          <w:szCs w:val="20"/>
        </w:rPr>
        <w:fldChar w:fldCharType="begin"/>
      </w:r>
      <w:r w:rsidRPr="00321BE4">
        <w:rPr>
          <w:sz w:val="20"/>
          <w:szCs w:val="20"/>
        </w:rPr>
        <w:instrText xml:space="preserve"> ADDIN ZOTERO_ITEM CSL_CITATION {"citationID":"ScfyNpLg","properties":{"formattedCitation":"(Ernawati et al., 2022)","plainCitation":"(Ernawati et al., 2022)","noteIndex":0},"citationItems":[{"id":15,"uris":["http://zotero.org/users/local/66j4yoWm/items/3YKYSDXG"],"itemData":{"id":15,"type":"article-journal","abstract":"BACKGROUND: This systematic review aimed to uncover the evidence and benefits of employers' commitment to delivering workplace wellness programs for working  mothers. METHODS: The articles published in PubMed, Embase, Scopus, and  AgeLine-Medline databases between 2012 and 2021 were searched to evaluate the  workplace wellness programs for working mothers with at least one resultant  wellness or wellbeing (e.g., physical health, less stress, mental health,  burnout, depression, smoking, bullying, alcohol consumption, overweight),  work-life balance outcome, or job satisfaction. RESULTS: Eight studies that met  the criteria were retrieved from databases. They showed some effective workplace  wellness programs that can reduce depression, stress, and burnout, improve mental  health, healthy behaviors, work-family balance and work-life balance. Working  mothers participating in a workplace wellness program generally gain some  benefits; one of which is reduced stress typically related to childcare,  economic, and personal health issues. CONCLUSIONS: The implementation of  workplace wellness programs for working mothers showed positive effects on their  health problems and health costs. These eight studies revealed that workplace  wellness programs specifically designed for working mothers can lead to time  efficiency by holding the programs in or near the workplace and implementing them  during the workdays. This greatly suits the conditions of many working mothers  whose limited time and energy to balance the household, family and work tasks.","container-title":"Journal of occupational health","DOI":"10.1002/1348-9585.12379","ISSN":"1348-9585 1341-9145","issue":"1","journalAbbreviation":"J Occup Health","language":"eng","license":"© 2022 The Authors. Journal of Occupational Health published by John Wiley &amp; Sons Australia, Ltd on behalf of The Japan Society for Occupational Health.","note":"publisher-place: Australia\nPMID: 36522291 \nPMCID: PMC9755005","page":"e12379","title":"Workplace wellness programs for working mothers: A systematic review.","volume":"64","author":[{"family":"Ernawati","given":"Ernawati"},{"family":"Mawardi","given":"Fitriana"},{"family":"Roswiyani","given":"Roswiyani"},{"family":"Melissa","given":"Melissa"},{"family":"Wiwaha","given":"Guswan"},{"family":"Tiatri","given":"Sri"},{"family":"Hilmanto","given":"Dany"}],"issued":{"date-parts":[["2022",1]]}}}],"schema":"https://github.com/citation-style-language/schema/raw/master/csl-citation.json"} </w:instrText>
      </w:r>
      <w:r w:rsidRPr="00321BE4">
        <w:rPr>
          <w:sz w:val="20"/>
          <w:szCs w:val="20"/>
        </w:rPr>
        <w:fldChar w:fldCharType="separate"/>
      </w:r>
      <w:r w:rsidRPr="00321BE4">
        <w:rPr>
          <w:sz w:val="20"/>
          <w:szCs w:val="20"/>
        </w:rPr>
        <w:t>(Ernawati et al., 2022;</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{"citationID":"CHh4zRiK","properties":{"unsorted":true,"formattedCitation":"(Reise et al., 2005)","plainCitation":"(Reise et al., 2005)","noteIndex":0},"citationItems":[{"id":9,"uris":["http://zotero.org/users/local/66j4yoWm/items/LA8U9IL9"],"itemData":{"id":9,"type":"article-journal","abstract":"Item response theory (IRT) is an increasingly popular approach to the development, evaluation, and administration of psychological measures. We introduce, first, three IRT fundamentals: (a) item response functions, (b) information functions, and (c) invariance. We next illustrate how IRT modeling can improve the quality of psychological measurement. Available evidence suggests that the differences between IRT and traditional psychometric methods are not trivial; IRT applications can improve the precision and validity of psychological research across a wide range of subjects.","container-title":"Current Directions in Psychological Science","DOI":"10.1111/j.0963-7214.2005.00342.x","ISSN":"0963-7214","issue":"2","journalAbbreviation":"Curr Dir Psychol Sci","note":"publisher: SAGE Publications Inc","page":"95-101","title":"Item Response Theory: Fundamentals, Applications, and Promise in Psychological Research","volume":"14","author":[{"family":"Reise","given":"Steven P."},{"family":"Ainsworth","given":"Andrew T."},{"family":"Haviland","given":"Mark G."}],"issued":{"date-parts":[["2005",4,1]]}}}],"schema":"https://github.com/citation-style-language/schema/raw/master/csl-citation.json"} </w:instrText>
      </w:r>
      <w:r w:rsidRPr="00321BE4">
        <w:rPr>
          <w:sz w:val="20"/>
          <w:szCs w:val="20"/>
        </w:rPr>
        <w:fldChar w:fldCharType="separate"/>
      </w:r>
      <w:r w:rsidRPr="00321BE4">
        <w:rPr>
          <w:sz w:val="20"/>
          <w:szCs w:val="20"/>
        </w:rPr>
        <w:t>Reise et al., 2005)</w:t>
      </w:r>
      <w:r w:rsidRPr="00321BE4">
        <w:rPr>
          <w:sz w:val="20"/>
          <w:szCs w:val="20"/>
        </w:rPr>
        <w:fldChar w:fldCharType="end"/>
      </w:r>
      <w:r w:rsidRPr="00321BE4">
        <w:rPr>
          <w:sz w:val="20"/>
          <w:szCs w:val="20"/>
        </w:rPr>
        <w:t>.</w:t>
      </w:r>
    </w:p>
    <w:p w14:paraId="06EB23A8" w14:textId="77777777" w:rsidR="00CE04DC" w:rsidRPr="00321BE4" w:rsidRDefault="00CE04DC" w:rsidP="00CE04DC">
      <w:pPr>
        <w:jc w:val="both"/>
        <w:rPr>
          <w:sz w:val="20"/>
          <w:szCs w:val="20"/>
        </w:rPr>
      </w:pPr>
    </w:p>
    <w:p w14:paraId="05C38C1F" w14:textId="77777777" w:rsidR="00CE04DC" w:rsidRPr="00321BE4" w:rsidRDefault="00CE04DC" w:rsidP="00815BFC">
      <w:pPr>
        <w:spacing w:line="324" w:lineRule="auto"/>
        <w:jc w:val="both"/>
        <w:rPr>
          <w:sz w:val="20"/>
          <w:szCs w:val="20"/>
        </w:rPr>
      </w:pPr>
      <w:r w:rsidRPr="00321BE4">
        <w:rPr>
          <w:sz w:val="20"/>
          <w:szCs w:val="20"/>
        </w:rPr>
        <w:t xml:space="preserve">The Confirmatory Factor Analysis confirmed the structural validity of the scales used, showing strong positive relationships between working mother stress and depression indices. This suggests that higher levels of stress are linked with increased depressive symptoms. The inverse relationship found between Spousal support and both stress and depression highlights the potential buffering role of supportive relationships in mitigating these adverse mental health outcomes </w:t>
      </w:r>
      <w:r w:rsidRPr="00321BE4">
        <w:rPr>
          <w:sz w:val="20"/>
          <w:szCs w:val="20"/>
        </w:rPr>
        <w:fldChar w:fldCharType="begin"/>
      </w:r>
      <w:r w:rsidRPr="00321BE4">
        <w:rPr>
          <w:sz w:val="20"/>
          <w:szCs w:val="20"/>
        </w:rPr>
        <w:instrText xml:space="preserve"> ADDIN ZOTERO_ITEM CSL_CITATION {"citationID":"UdPcyErJ","properties":{"formattedCitation":"(Lewis et al., 2015)","plainCitation":"(Lewis et al., 2015)","noteIndex":0},"citationItems":[{"id":3,"uris":["http://zotero.org/users/local/66j4yoWm/items/Z8BC5KZ4"],"itemData":{"id":3,"type":"article-journal","abstract":"BACKGROUND: The role of husbands in maternal health is often overlooked by health programmes in developing countries and is an under-researched area of study  globally. This study examines the role of husbands in maternity care and safe  childbirth, their perceptions of the needs of women and children, the factors  which influence or discourage their participation, and how women feel about male  involvement around childbirth. It also identifies considerations that should be  taken into account in the development of health education for husbands. METHODS:  This qualitative study was conducted in four rural hill villages in the Gorkha  district of Nepal. Semi-structured, in-depth interviews were conducted with  husbands (n = 17), wives (n = 15), mothers-in-law (n = 3), and health workers (n  = 7) in Nepali through a translator. Interviews were transcribed and analysed  using axial coding. RESULTS: We found that, in rural Nepal, male involvement in  maternal health and safe childbirth is complex and related to gradual and  evolving changes in attitudes taking place. Traditional beliefs are upheld which  influence male involvement, including the central role of women in the domain of  pregnancy and childbirth that cannot be ignored. That said, husbands do have a  role to play in maternity care. For example, they may be the only person  available when a woman goes into labour. Considerable interest for the  involvement of husbands was also expressed by both expectant mothers and fathers.  However, it is important to recognise that the husbands' role is shaped by many  factors, including their availability, cultural beliefs, and traditions.  CONCLUSIONS: This study shows that, although complex, expectant fathers do have  an important role in maternal health and safe childbirth. Male involvement needs  to be recognised and addressed in health education due to the potential benefits  it may bring to both maternal and child health outcomes. This has important  implications for health policy and practice, as there is a need for health  systems and maternal health interventions to adapt in order to ensure the  appropriate and effective inclusion of expectant fathers.","container-title":"BMC pregnancy and childbirth","DOI":"10.1186/s12884-015-0599-8","ISSN":"1471-2393","journalAbbreviation":"BMC Pregnancy Childbirth","language":"eng","note":"publisher-place: England\nPMID: 26239123 \nPMCID: PMC4523911","page":"162","title":"The role of husbands in maternal health and safe childbirth in rural Nepal: a qualitative study.","volume":"15","author":[{"family":"Lewis","given":"Sarah"},{"family":"Lee","given":"Andrew"},{"family":"Simkhada","given":"Padam"}],"issued":{"date-parts":[["2015",8,4]]}}}],"schema":"https://github.com/citation-style-language/schema/raw/master/csl-citation.json"} </w:instrText>
      </w:r>
      <w:r w:rsidRPr="00321BE4">
        <w:rPr>
          <w:sz w:val="20"/>
          <w:szCs w:val="20"/>
        </w:rPr>
        <w:fldChar w:fldCharType="separate"/>
      </w:r>
      <w:r w:rsidRPr="00321BE4">
        <w:rPr>
          <w:sz w:val="20"/>
          <w:szCs w:val="20"/>
        </w:rPr>
        <w:t>(Lewis et al., 2015;</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{"citationID":"p5o1mJIZ","properties":{"formattedCitation":"(Coates et al., 2014)","plainCitation":"(Coates et al., 2014)","noteIndex":0},"citationItems":[{"id":66,"uris":["http://zotero.org/users/local/66j4yoWm/items/RV86LVUC"],"itemData":{"id":66,"type":"article-journal","abstract":"BACKGROUND: Women can experience a range of psychological problems after birth, including anxiety, depression and adjustment disorders. However, research has  predominantly focused on depression. Qualitative work on women's experiences of  postnatal mental health problems has sampled women within particular diagnostic  categories so not looked at the range of potential psychological problems. The  aims of this study were to explore how women experienced and made sense of the  range of emotional distress states in the first postnatal year. METHODS: A  qualitative study of 17 women who experienced psychological problems in the first  year after having a baby. Semi-structured interviews took place in person (n =15)  or on the telephone (n =2). Topics included women's experiences of becoming  distressed and their recovery. Data were analysed using Interpretative  Phenomenological Analysis (IPA). Themes were developed within each interview  before identifying similar themes for multiple participants across interviews, in  order to retain an idiographic approach. RESULTS: Psychological processes such as  guilt, avoidance and adjustment difficulties were experienced across different  types of distress. Women placed these in the context of defining moments of  becoming a mother; giving birth and breastfeeding. Four superordinate themes were  identified. Two concerned women's unwanted negative emotions and difficulties  adjusting to their new role. \"Living with an unwelcome beginning\" describes the  way mothers' new lives with their babies started out with unwelcome emotions,  often in the context of birth and breastfeeding difficulties. All women spoke  about the importance of their postnatal healthcare experiences in \"Relationships  in the healthcare system\". \"The shock of the new\" describes women's difficulties  adjusting to the demands of motherhood and women emphasised the importance of  social support in \"Meeting new support needs\". CONCLUSIONS: These findings  emphasise the need for exploration of psychological processes such as distancing,  guilt and self-blame across different types of emotional difficulties, as these  may be viable targets for therapeutic intervention. Breastfeeding and birth  trauma were key areas with which women felt they needed support with but which  was not easily available.","container-title":"BMC pregnancy and childbirth","DOI":"10.1186/1471-2393-14-359","ISSN":"1471-2393","journalAbbreviation":"BMC Pregnancy Childbirth","language":"eng","note":"publisher-place: England\nPMID: 25315742 \nPMCID: PMC4288655","page":"359","title":"Women's experiences of postnatal distress: a qualitative study.","volume":"14","author":[{"family":"Coates","given":"Rose"},{"family":"Ayers","given":"Susan"},{"family":"Visser","given":"Richard","non-dropping-particle":"de"}],"issued":{"date-parts":[["2014",10,14]]}}}],"schema":"https://github.com/citation-style-language/schema/raw/master/csl-citation.json"} </w:instrText>
      </w:r>
      <w:r w:rsidRPr="00321BE4">
        <w:rPr>
          <w:sz w:val="20"/>
          <w:szCs w:val="20"/>
        </w:rPr>
        <w:fldChar w:fldCharType="separate"/>
      </w:r>
      <w:r w:rsidRPr="00321BE4">
        <w:rPr>
          <w:sz w:val="20"/>
          <w:szCs w:val="20"/>
        </w:rPr>
        <w:t>Coates et al., 2014)</w:t>
      </w:r>
      <w:r w:rsidRPr="00321BE4">
        <w:rPr>
          <w:sz w:val="20"/>
          <w:szCs w:val="20"/>
        </w:rPr>
        <w:fldChar w:fldCharType="end"/>
      </w:r>
      <w:r w:rsidRPr="00321BE4">
        <w:rPr>
          <w:sz w:val="20"/>
          <w:szCs w:val="20"/>
        </w:rPr>
        <w:t>.</w:t>
      </w:r>
    </w:p>
    <w:p w14:paraId="39E33B8E" w14:textId="77777777" w:rsidR="00CE04DC" w:rsidRPr="00321BE4" w:rsidRDefault="00CE04DC" w:rsidP="00CE04DC">
      <w:pPr>
        <w:jc w:val="both"/>
        <w:rPr>
          <w:sz w:val="20"/>
          <w:szCs w:val="20"/>
        </w:rPr>
      </w:pPr>
    </w:p>
    <w:p w14:paraId="5D709C90" w14:textId="77777777" w:rsidR="00CE04DC" w:rsidRPr="00321BE4" w:rsidRDefault="00CE04DC" w:rsidP="00815BFC">
      <w:pPr>
        <w:spacing w:line="324" w:lineRule="auto"/>
        <w:jc w:val="both"/>
        <w:rPr>
          <w:sz w:val="20"/>
          <w:szCs w:val="20"/>
        </w:rPr>
      </w:pPr>
      <w:r w:rsidRPr="00321BE4">
        <w:rPr>
          <w:sz w:val="20"/>
          <w:szCs w:val="20"/>
        </w:rPr>
        <w:t xml:space="preserve">Structural Equation Modeling provided robust statistical evidence for hypothesized relationships. The model depicted a significant, positive association between depression and working mother stress, illustrating how increased stress correlates with higher levels of depression. Conversely, the strong negative associations with Spousal support suggest that effective support systems can significantly alleviate these stresses, underlining the critical role of Spousal support in the mental health of young mothers </w:t>
      </w:r>
      <w:r w:rsidRPr="00321BE4">
        <w:rPr>
          <w:sz w:val="20"/>
          <w:szCs w:val="20"/>
        </w:rPr>
        <w:fldChar w:fldCharType="begin"/>
      </w:r>
      <w:r w:rsidRPr="00321BE4">
        <w:rPr>
          <w:sz w:val="20"/>
          <w:szCs w:val="20"/>
        </w:rPr>
        <w:instrText xml:space="preserve"> ADDIN ZOTERO_ITEM CSL_CITATION {"citationID":"hLDYYiQW","properties":{"formattedCitation":"(Suryawanshi et al., 2021)","plainCitation":"(Suryawanshi et al., 2021)","noteIndex":0},"citationItems":[{"id":7,"uris":["http://zotero.org/users/local/66j4yoWm/items/9995QDGE"],"itemData":{"id":7,"type":"article-journal","abstract":"BACKGROUND: To commemorate the 25(th) anniversary of International Conference on Population and Development (ICPD) in the pursuit of Sexual and Reproductive  Health Rights views of duty bearers (men) who are mostly not involved in  antenatal care in a patriarchal society like India needs to be explored. DESIGN:  It is a mixed method study (Triangulation). SETTING AND POPULATION: It was  conducted in a rural field practice area of a private medical college in South  India covering a population of 19,200. OBJECTIVES: 1) To determine the  involvement of husband in maternal and child care. 2) To find out the perceptions  of the husbands of antenatal pregnant women in maternal and child health (MCH)  care. METHODS: (Quan) A semi-structured questionnaire to find out the areas where  husband is involved maximum during antenatal care (Qual). In-depth interviews was  conducted to find out the factors associated with their involvement. RESULTS:  About 72.5% came for antenatal visits while it decreased to 27.5% during labor  and further decreased to 20.3% during immunization. The reasons for decreased  participation were (1) Professional Commitments, (2) Views of a Patriarchal  society like India, (3) Financial Difficulties, and (4) Health Facility Related  Challenges. CONCLUSION: There is a need to educate the husband regarding the  importance of husband's involvement during delivery and immunization. Programs  should also include men as the stakeholders for accountability and better MCH  care for women.","container-title":"Journal of family medicine and primary care","DOI":"10.4103/jfmpc.jfmpc_2342_20","ISSN":"2249-4863 2278-7135","issue":"8","journalAbbreviation":"J Family Med Prim Care","language":"eng","license":"Copyright: © 2021 Journal of Family Medicine and Primary Care.","note":"publisher-place: India\nPMID: 34660413 \nPMCID: PMC8483132","page":"2829-2833","title":"Involvement of husband in maternal and child health care in rural field practice area of a tertiary medical college in South India-A mixed method study.","volume":"10","author":[{"family":"Suryawanshi","given":"D. S."},{"family":"Rajaseharan","given":"D."},{"family":"Venugopal","given":"R."}],"issued":{"date-parts":[["2021",8]]}}}],"schema":"https://github.com/citation-style-language/schema/raw/master/csl-citation.json"} </w:instrText>
      </w:r>
      <w:r w:rsidRPr="00321BE4">
        <w:rPr>
          <w:sz w:val="20"/>
          <w:szCs w:val="20"/>
        </w:rPr>
        <w:fldChar w:fldCharType="separate"/>
      </w:r>
      <w:r w:rsidRPr="00321BE4">
        <w:rPr>
          <w:sz w:val="20"/>
          <w:szCs w:val="20"/>
        </w:rPr>
        <w:t>(Suryawanshi et al., 2021;</w:t>
      </w:r>
      <w:r w:rsidRPr="00321BE4">
        <w:rPr>
          <w:sz w:val="20"/>
          <w:szCs w:val="20"/>
        </w:rPr>
        <w:fldChar w:fldCharType="end"/>
      </w:r>
      <w:r w:rsidRPr="00321BE4">
        <w:rPr>
          <w:sz w:val="20"/>
          <w:szCs w:val="20"/>
        </w:rPr>
        <w:t xml:space="preserve"> </w:t>
      </w:r>
      <w:r w:rsidRPr="00321BE4">
        <w:rPr>
          <w:sz w:val="20"/>
          <w:szCs w:val="20"/>
        </w:rPr>
        <w:fldChar w:fldCharType="begin"/>
      </w:r>
      <w:r w:rsidRPr="00321BE4">
        <w:rPr>
          <w:sz w:val="20"/>
          <w:szCs w:val="20"/>
        </w:rPr>
        <w:instrText xml:space="preserve"> ADDIN ZOTERO_ITEM CSL_CITATION {"citationID":"PX35nKA1","properties":{"formattedCitation":"(Yang et al., 2022)","plainCitation":"(Yang et al., 2022)","noteIndex":0},"citationItems":[{"id":64,"uris":["http://zotero.org/users/local/66j4yoWm/items/VSUV5CFM"],"itemData":{"id":64,"type":"article-journal","abstract":"BACKGROUND: The COVID-19 pandemic and the multifaceted response strategies to curb its spread both have devastating effects on mental and emotional health.  Social distancing, and self-isolation have impacted the lives of students. These  impacts need to be identified, studied, and handled to ensure the well-being of  the individuals, particularly the students. AIM: This study aims to analyze the  role of coping strategies, family support, and social support in improving the  mental health of the students by collecting evidence from post COVID-19. METHODS:  Data was collected from deaf students studying in Chinese universities of Henan  Province, China. A survey questionnaire was designed to collect data from 210  students. Descriptive statistics were calculated using SPSS 21 while hypothesis  testing was carried out using Mplus 7. RESULTS: The results demonstrated that  family support was strongly positively linked to mental health and predicted  coping strategies. The direct relationship analysis showed that coping strategy  strongly predicted mental health. Furthermore, coping strategies significantly  mediated the relationship between family support and mental health. Additionally,  the results highlighted that PSS significantly moderated the path of family  support and coping strategies only. CONCLUSION: Family support and coping  strategies positively predicted mental health, whereas, family support was also  found to be positively associated with coping strategies. Coping strategies  mediated the positive association between family support and mental health.  However, perceived family and other support only moderated the relationship  between family support and coping strategies.","container-title":"Frontiers in psychology","DOI":"10.3389/fpsyg.2022.1064898","ISSN":"1664-1078","journalAbbreviation":"Front Psychol","language":"eng","license":"Copyright © 2022 Yang, Gao, Li, Wang, Wang and Wang.","note":"publisher-place: Switzerland\nPMID: 36619015 \nPMCID: PMC9822709","page":"1064898","title":"Analyzing the role of family support, coping strategies and social support in improving the mental health of students: Evidence from post COVID-19.","volume":"13","author":[{"family":"Yang","given":"Chunying"},{"family":"Gao","given":"Hong"},{"family":"Li","given":"Yuxiang"},{"family":"Wang","given":"Enguo"},{"family":"Wang","given":"Nina"},{"family":"Wang","given":"Qinglei"}],"issued":{"date-parts":[["2022"]]}}}],"schema":"https://github.com/citation-style-language/schema/raw/master/csl-citation.json"} </w:instrText>
      </w:r>
      <w:r w:rsidRPr="00321BE4">
        <w:rPr>
          <w:sz w:val="20"/>
          <w:szCs w:val="20"/>
        </w:rPr>
        <w:fldChar w:fldCharType="separate"/>
      </w:r>
      <w:r w:rsidRPr="00321BE4">
        <w:rPr>
          <w:sz w:val="20"/>
          <w:szCs w:val="20"/>
        </w:rPr>
        <w:t>Yang et al., 2022)</w:t>
      </w:r>
      <w:r w:rsidRPr="00321BE4">
        <w:rPr>
          <w:sz w:val="20"/>
          <w:szCs w:val="20"/>
        </w:rPr>
        <w:fldChar w:fldCharType="end"/>
      </w:r>
      <w:r w:rsidRPr="00321BE4">
        <w:rPr>
          <w:sz w:val="20"/>
          <w:szCs w:val="20"/>
        </w:rPr>
        <w:t>.</w:t>
      </w:r>
    </w:p>
    <w:p w14:paraId="44332252" w14:textId="77777777" w:rsidR="00CE04DC" w:rsidRPr="00321BE4" w:rsidRDefault="00CE04DC" w:rsidP="00CE04DC">
      <w:pPr>
        <w:jc w:val="both"/>
        <w:rPr>
          <w:sz w:val="20"/>
          <w:szCs w:val="20"/>
        </w:rPr>
      </w:pPr>
    </w:p>
    <w:p w14:paraId="78B86DBD" w14:textId="77777777" w:rsidR="00CE04DC" w:rsidRPr="00321BE4" w:rsidRDefault="00CE04DC" w:rsidP="00815BFC">
      <w:pPr>
        <w:spacing w:line="324" w:lineRule="auto"/>
        <w:jc w:val="both"/>
        <w:rPr>
          <w:sz w:val="20"/>
          <w:szCs w:val="20"/>
        </w:rPr>
      </w:pPr>
      <w:r w:rsidRPr="00321BE4">
        <w:rPr>
          <w:sz w:val="20"/>
          <w:szCs w:val="20"/>
        </w:rPr>
        <w:t xml:space="preserve">The study, while comprehensive, is not without its limitations. The homogeneity of the sample—comprising mostly young, highly educated women—may limit how broadly the findings can be applied to other groups. Additionally, the assumptions used in Structural Equation Modeling, such as the linearity of relationships, might not fully capture the complex dynamics found in real-life situations </w:t>
      </w:r>
      <w:r w:rsidRPr="00321BE4">
        <w:rPr>
          <w:sz w:val="20"/>
          <w:szCs w:val="20"/>
        </w:rPr>
        <w:fldChar w:fldCharType="begin"/>
      </w:r>
      <w:r w:rsidRPr="00321BE4">
        <w:rPr>
          <w:sz w:val="20"/>
          <w:szCs w:val="20"/>
        </w:rPr>
        <w:instrText xml:space="preserve"> ADDIN ZOTERO_ITEM CSL_CITATION {"citationID":"8kbyi0G4","properties":{"formattedCitation":"(Marsh et al., 2020)","plainCitation":"(Marsh et al., 2020)","noteIndex":0},"citationItems":[{"id":52,"uris":["http://zotero.org/users/local/66j4yoWm/items/SVD6YBM3"],"itemData":{"id":52,"type":"article-journal","abstract":"CFAs of multidimensional constructs often fail to meet standards of good measurement (e.g., goodness-of-fit, measurement invariance, and well-differentiated factors). Exploratory structural equation modeling (ESEM) represents a compromise between exploratory factor analysis’ (EFA) flexibility, and CFA/SEM’s rigor and parsimony, but lacks parsimony (particularly in large models) and might confound constructs that need to be kept separate. In Set-ESEM, two or more a priori sets of constructs are modeled within a single model such that cross-loadings are permissible within the same set of factors (as in Full-ESEM) but are constrained to be zero for factors in different sets (as in CFA). The different sets can reflect the same set of constructs on multiple occasions, and/or different constructs measured within the same wave. Hence, Set-ESEM that represents a middle-ground between the flexibility of traditional-ESEM (hereafter referred to as Full-ESEM) and the rigor and parsimony of CFA/SEM. Thus, the purposes of this article are to provide an overview tutorial on Set-ESEM, juxtapose it with Full-ESEM, and to illustrate its application with simulated data and diverse “real” data applications with accessible, heuristic explanations of best practice.","container-title":"Multivariate Behavioral Research","DOI":"10.1080/00273171.2019.1602503","ISSN":"0027-3171","issue":"1","note":"publisher: Routledge\n_eprint: https://doi.org/10.1080/00273171.2019.1602503\nPMID: 31204844","page":"102–119","source":"Taylor and Francis+NEJM","title":"Confirmatory Factor Analysis (CFA), Exploratory Structural Equation Modeling (ESEM), and Set-ESEM: Optimal Balance Between Goodness of Fit and Parsimony","title-short":"Confirmatory Factor Analysis (CFA), Exploratory Structural Equation Modeling (ESEM), and Set-ESEM","volume":"55","author":[{"family":"Marsh","given":"Herbert W."},{"family":"Guo","given":"Jiesi"},{"family":"Dicke","given":"Theresa"},{"family":"Parker","given":"Philip D."},{"family":"Craven","given":"Rhonda G."}],"issued":{"date-parts":[["2020",1,2]]}}}],"schema":"https://github.com/citation-style-language/schema/raw/master/csl-citation.json"} </w:instrText>
      </w:r>
      <w:r w:rsidRPr="00321BE4">
        <w:rPr>
          <w:sz w:val="20"/>
          <w:szCs w:val="20"/>
        </w:rPr>
        <w:fldChar w:fldCharType="separate"/>
      </w:r>
      <w:r w:rsidRPr="00321BE4">
        <w:rPr>
          <w:sz w:val="20"/>
          <w:szCs w:val="20"/>
        </w:rPr>
        <w:t>(Marsh et al., 2020)</w:t>
      </w:r>
      <w:r w:rsidRPr="00321BE4">
        <w:rPr>
          <w:sz w:val="20"/>
          <w:szCs w:val="20"/>
        </w:rPr>
        <w:fldChar w:fldCharType="end"/>
      </w:r>
      <w:r w:rsidRPr="00321BE4">
        <w:rPr>
          <w:sz w:val="20"/>
          <w:szCs w:val="20"/>
        </w:rPr>
        <w:t>. Moreover, comparing the mental health of working and non-working mothers could provide a more detailed understanding of the impact of employment status on mental health, an aspect not covered in this study.</w:t>
      </w:r>
    </w:p>
    <w:p w14:paraId="5656F694" w14:textId="77777777" w:rsidR="00CE04DC" w:rsidRPr="00321BE4" w:rsidRDefault="00CE04DC" w:rsidP="00CE04DC">
      <w:pPr>
        <w:jc w:val="both"/>
        <w:rPr>
          <w:sz w:val="20"/>
          <w:szCs w:val="20"/>
        </w:rPr>
      </w:pPr>
    </w:p>
    <w:p w14:paraId="613E5C9D" w14:textId="77777777" w:rsidR="00CE04DC" w:rsidRPr="00321BE4" w:rsidRDefault="00CE04DC" w:rsidP="00815BFC">
      <w:pPr>
        <w:spacing w:line="324" w:lineRule="auto"/>
        <w:jc w:val="both"/>
        <w:rPr>
          <w:sz w:val="20"/>
          <w:szCs w:val="20"/>
        </w:rPr>
      </w:pPr>
      <w:bookmarkStart w:id="22" w:name="_Toc166993753"/>
      <w:r w:rsidRPr="00321BE4">
        <w:rPr>
          <w:sz w:val="20"/>
          <w:szCs w:val="20"/>
        </w:rPr>
        <w:t>Future research should consider longitudinal designs to better understand the causality and evolution of the relationships identified. Expanding the cultural and demographic scope of the study could also enhance the generalizability of the findings, providing a more comprehensive understanding of the dynamics at play. For instance, from the Working Mother Stress Scale, items such as 'feeling overwhelmed by responsibilities’ were particularly indicative of higher stress levels among participants. Similarly, the PHQ-9 item 'feeling down, depressed, or hopeless' emerged as a key predictor of depression levels, highlighting the severity of mental health challenges faced by the cohort. Additionally, 'emotional support from spouses' from the Spousal Support Scale was a significant factor in mitigating these challenges, underscoring the importance of spousal support in the psychological well-being of working mothers.</w:t>
      </w:r>
    </w:p>
    <w:p w14:paraId="3073CC80" w14:textId="77777777" w:rsidR="00CE04DC" w:rsidRPr="00321BE4" w:rsidRDefault="00CE04DC" w:rsidP="00CE04DC">
      <w:pPr>
        <w:jc w:val="both"/>
        <w:rPr>
          <w:sz w:val="20"/>
          <w:szCs w:val="20"/>
        </w:rPr>
      </w:pPr>
    </w:p>
    <w:p w14:paraId="65791FB1" w14:textId="77777777" w:rsidR="00CE04DC" w:rsidRPr="00321BE4" w:rsidRDefault="00CE04DC" w:rsidP="00815BFC">
      <w:pPr>
        <w:spacing w:line="324" w:lineRule="auto"/>
        <w:jc w:val="both"/>
        <w:rPr>
          <w:sz w:val="20"/>
          <w:szCs w:val="20"/>
        </w:rPr>
      </w:pPr>
      <w:r w:rsidRPr="00321BE4">
        <w:rPr>
          <w:sz w:val="20"/>
          <w:szCs w:val="20"/>
        </w:rPr>
        <w:t>This study lays the groundwork for further exploration into how familial and social support systems can be optimized to reduce psychological distress among young working mothers in educated, urban settings. Specifically, our findings suggest that interventions might focus on enhancing coping strategies for stress management, addressing key depressive symptoms, and strengthening spousal support mechanisms. Overall, our research highlights the critical need for targeted mental health interventions that consider both the unique pressures faced by working mothers and the supportive role of their spouses. These interventions should be designed with attention to the specific stressors and supportive elements identified through the significant items on each scale used in our study.</w:t>
      </w:r>
    </w:p>
    <w:p w14:paraId="72C1B74B" w14:textId="77777777" w:rsidR="00CE04DC" w:rsidRPr="00321BE4" w:rsidRDefault="00CE04DC" w:rsidP="00CE04DC">
      <w:pPr>
        <w:jc w:val="both"/>
        <w:rPr>
          <w:sz w:val="20"/>
          <w:szCs w:val="20"/>
        </w:rPr>
      </w:pPr>
    </w:p>
    <w:p w14:paraId="0CA1AAF7" w14:textId="77777777" w:rsidR="00CE04DC" w:rsidRDefault="00CE04DC" w:rsidP="00CE04DC">
      <w:pPr>
        <w:pStyle w:val="ListParagraph"/>
        <w:numPr>
          <w:ilvl w:val="0"/>
          <w:numId w:val="25"/>
        </w:numPr>
        <w:spacing w:after="0" w:line="240" w:lineRule="auto"/>
        <w:ind w:left="360"/>
        <w:rPr>
          <w:rFonts w:ascii="Times New Roman" w:hAnsi="Times New Roman" w:cs="Times New Roman"/>
          <w:b/>
          <w:bCs/>
          <w:sz w:val="20"/>
          <w:szCs w:val="20"/>
        </w:rPr>
      </w:pPr>
      <w:r w:rsidRPr="00321BE4">
        <w:rPr>
          <w:rFonts w:ascii="Times New Roman" w:hAnsi="Times New Roman" w:cs="Times New Roman"/>
          <w:b/>
          <w:bCs/>
          <w:sz w:val="20"/>
          <w:szCs w:val="20"/>
        </w:rPr>
        <w:t>Conclusion</w:t>
      </w:r>
      <w:bookmarkEnd w:id="22"/>
    </w:p>
    <w:p w14:paraId="2D910500" w14:textId="77777777" w:rsidR="00815BFC" w:rsidRPr="00321BE4" w:rsidRDefault="00815BFC" w:rsidP="00815BFC">
      <w:pPr>
        <w:pStyle w:val="ListParagraph"/>
        <w:spacing w:after="0" w:line="240" w:lineRule="auto"/>
        <w:ind w:left="360"/>
        <w:rPr>
          <w:rFonts w:ascii="Times New Roman" w:hAnsi="Times New Roman" w:cs="Times New Roman"/>
          <w:b/>
          <w:bCs/>
          <w:sz w:val="20"/>
          <w:szCs w:val="20"/>
        </w:rPr>
      </w:pPr>
    </w:p>
    <w:p w14:paraId="31287CCE" w14:textId="77777777" w:rsidR="00CE04DC" w:rsidRPr="00321BE4" w:rsidRDefault="00CE04DC" w:rsidP="00815BFC">
      <w:pPr>
        <w:spacing w:line="324" w:lineRule="auto"/>
        <w:jc w:val="both"/>
        <w:rPr>
          <w:sz w:val="20"/>
          <w:szCs w:val="20"/>
        </w:rPr>
      </w:pPr>
      <w:r w:rsidRPr="00321BE4">
        <w:rPr>
          <w:sz w:val="20"/>
          <w:szCs w:val="20"/>
        </w:rPr>
        <w:t>The study highlights the intricate nature of working mothers' mental health, influenced by a confluence of factors including stress levels, depression, and the presence of Spousal support. Spousal support emerges as a vital component in the ecosystem of mother well-being, offering a buffer against the mental health challenges posed by parenting. Given the pivotal role of Spousal support, fostering strong familial relationships appears essential in combating working mother stress and depression among working mothers. This underscores the need for societal and community interventions to provide support systems for parents. Additionally, the findings call for increased awareness and resources for mental health support tailored to the needs of working mothers, aiming to address the specific stressors they face.</w:t>
      </w:r>
      <w:bookmarkStart w:id="23" w:name="_Toc166993754"/>
    </w:p>
    <w:p w14:paraId="7948B1B7" w14:textId="77777777" w:rsidR="00CE04DC" w:rsidRPr="00321BE4" w:rsidRDefault="00CE04DC" w:rsidP="00CE04DC">
      <w:pPr>
        <w:jc w:val="both"/>
        <w:rPr>
          <w:b/>
          <w:bCs/>
          <w:sz w:val="20"/>
          <w:szCs w:val="20"/>
        </w:rPr>
      </w:pPr>
    </w:p>
    <w:p w14:paraId="74D6B33C" w14:textId="77777777" w:rsidR="00CE04DC" w:rsidRDefault="00CE04DC" w:rsidP="00CE04DC">
      <w:pPr>
        <w:jc w:val="both"/>
        <w:rPr>
          <w:b/>
          <w:bCs/>
          <w:sz w:val="20"/>
          <w:szCs w:val="20"/>
        </w:rPr>
      </w:pPr>
      <w:r w:rsidRPr="00321BE4">
        <w:rPr>
          <w:b/>
          <w:bCs/>
          <w:sz w:val="20"/>
          <w:szCs w:val="20"/>
        </w:rPr>
        <w:t>Declarations</w:t>
      </w:r>
    </w:p>
    <w:p w14:paraId="2BD15342" w14:textId="77777777" w:rsidR="00815BFC" w:rsidRPr="00321BE4" w:rsidRDefault="00815BFC" w:rsidP="00CE04DC">
      <w:pPr>
        <w:jc w:val="both"/>
        <w:rPr>
          <w:b/>
          <w:bCs/>
          <w:sz w:val="20"/>
          <w:szCs w:val="20"/>
        </w:rPr>
      </w:pPr>
    </w:p>
    <w:p w14:paraId="6BA70B71" w14:textId="77777777" w:rsidR="00CE04DC" w:rsidRDefault="00CE04DC" w:rsidP="00CE04DC">
      <w:pPr>
        <w:jc w:val="both"/>
        <w:rPr>
          <w:b/>
          <w:bCs/>
          <w:sz w:val="20"/>
          <w:szCs w:val="20"/>
        </w:rPr>
      </w:pPr>
      <w:r w:rsidRPr="00321BE4">
        <w:rPr>
          <w:b/>
          <w:bCs/>
          <w:sz w:val="20"/>
          <w:szCs w:val="20"/>
        </w:rPr>
        <w:t>Ethics and Consent to Participate</w:t>
      </w:r>
    </w:p>
    <w:p w14:paraId="31829313" w14:textId="77777777" w:rsidR="00815BFC" w:rsidRPr="00321BE4" w:rsidRDefault="00815BFC" w:rsidP="00CE04DC">
      <w:pPr>
        <w:jc w:val="both"/>
        <w:rPr>
          <w:sz w:val="20"/>
          <w:szCs w:val="20"/>
        </w:rPr>
      </w:pPr>
    </w:p>
    <w:p w14:paraId="026ED7A1" w14:textId="77777777" w:rsidR="00CE04DC" w:rsidRPr="00321BE4" w:rsidRDefault="00CE04DC" w:rsidP="00815BFC">
      <w:pPr>
        <w:spacing w:line="324" w:lineRule="auto"/>
        <w:jc w:val="both"/>
        <w:rPr>
          <w:sz w:val="20"/>
          <w:szCs w:val="20"/>
        </w:rPr>
      </w:pPr>
      <w:r w:rsidRPr="00321BE4">
        <w:rPr>
          <w:sz w:val="20"/>
          <w:szCs w:val="20"/>
        </w:rPr>
        <w:t xml:space="preserve">This study received ethical approval from the 'Biosafety, Biosecurity &amp; Ethical Committee' at the Faculty of Biological Sciences, Jahangirnagar University, in Savar, Dhaka-1342, Bangladesh, with the clearance </w:t>
      </w:r>
      <w:r w:rsidRPr="00321BE4">
        <w:rPr>
          <w:color w:val="000000" w:themeColor="text1"/>
          <w:sz w:val="20"/>
          <w:szCs w:val="20"/>
        </w:rPr>
        <w:t xml:space="preserve">number [BBEC, JU/M 2025/ 08 (297)]. </w:t>
      </w:r>
      <w:r w:rsidRPr="00321BE4">
        <w:rPr>
          <w:sz w:val="20"/>
          <w:szCs w:val="20"/>
        </w:rPr>
        <w:t xml:space="preserve">Participants were fully informed about the research goals and the measures taken to ensure the confidentiality and privacy of their data. All participants were fully informed about the aims of the research and the measures implemented to ensure the confidentiality and anonymity of their responses. Consent was obtained from all participants, who willingly agreed to participate with the assurance that they could withdraw at any time without any justification </w:t>
      </w:r>
      <w:r w:rsidRPr="00321BE4">
        <w:rPr>
          <w:sz w:val="20"/>
          <w:szCs w:val="20"/>
        </w:rPr>
        <w:fldChar w:fldCharType="begin"/>
      </w:r>
      <w:r w:rsidRPr="00321BE4">
        <w:rPr>
          <w:sz w:val="20"/>
          <w:szCs w:val="20"/>
        </w:rPr>
        <w:instrText xml:space="preserve"> ADDIN ZOTERO_ITEM CSL_CITATION {"citationID":"oToNHMKt","properties":{"formattedCitation":"(World Medical Association, 2013)","plainCitation":"(World Medical Association, 2013)","noteIndex":0},"citationItems":[{"id":89,"uris":["http://zotero.org/users/local/66j4yoWm/items/N3YAJTT5"],"itemData":{"id":89,"type":"article-journal","container-title":"JAMA","DOI":"10.1001/jama.2013.281053","ISSN":"1538-3598","issue":"20","journalAbbreviation":"JAMA","language":"eng","note":"PMID: 24141714","page":"2191-2194","source":"PubMed","title":"World Medical Association Declaration of Helsinki: ethical principles for medical research involving human subjects","title-short":"World Medical Association Declaration of Helsinki","volume":"310","author":[{"literal":"World Medical Association"}],"issued":{"date-parts":[["2013",11,27]]}}}],"schema":"https://github.com/citation-style-language/schema/raw/master/csl-citation.json"} </w:instrText>
      </w:r>
      <w:r w:rsidRPr="00321BE4">
        <w:rPr>
          <w:sz w:val="20"/>
          <w:szCs w:val="20"/>
        </w:rPr>
        <w:fldChar w:fldCharType="separate"/>
      </w:r>
      <w:r w:rsidRPr="00321BE4">
        <w:rPr>
          <w:sz w:val="20"/>
          <w:szCs w:val="20"/>
        </w:rPr>
        <w:t>(World Medical Association, 2013)</w:t>
      </w:r>
      <w:r w:rsidRPr="00321BE4">
        <w:rPr>
          <w:sz w:val="20"/>
          <w:szCs w:val="20"/>
        </w:rPr>
        <w:fldChar w:fldCharType="end"/>
      </w:r>
      <w:r w:rsidRPr="00321BE4">
        <w:rPr>
          <w:sz w:val="20"/>
          <w:szCs w:val="20"/>
        </w:rPr>
        <w:t xml:space="preserve">. </w:t>
      </w:r>
    </w:p>
    <w:p w14:paraId="59191B71" w14:textId="77777777" w:rsidR="00815BFC" w:rsidRDefault="00815BFC" w:rsidP="00CE04DC">
      <w:pPr>
        <w:rPr>
          <w:b/>
          <w:bCs/>
          <w:sz w:val="20"/>
          <w:szCs w:val="20"/>
        </w:rPr>
      </w:pPr>
    </w:p>
    <w:p w14:paraId="7152EC6A" w14:textId="3AD0033D" w:rsidR="00CE04DC" w:rsidRDefault="00CE04DC" w:rsidP="00CE04DC">
      <w:pPr>
        <w:rPr>
          <w:b/>
          <w:bCs/>
          <w:sz w:val="20"/>
          <w:szCs w:val="20"/>
        </w:rPr>
      </w:pPr>
      <w:r w:rsidRPr="00321BE4">
        <w:rPr>
          <w:b/>
          <w:bCs/>
          <w:sz w:val="20"/>
          <w:szCs w:val="20"/>
        </w:rPr>
        <w:t>Funding</w:t>
      </w:r>
    </w:p>
    <w:p w14:paraId="05AE9C7A" w14:textId="77777777" w:rsidR="00815BFC" w:rsidRPr="00321BE4" w:rsidRDefault="00815BFC" w:rsidP="00CE04DC">
      <w:pPr>
        <w:rPr>
          <w:b/>
          <w:bCs/>
          <w:sz w:val="20"/>
          <w:szCs w:val="20"/>
        </w:rPr>
      </w:pPr>
    </w:p>
    <w:p w14:paraId="15448FCE" w14:textId="77777777" w:rsidR="00CE04DC" w:rsidRDefault="00CE04DC" w:rsidP="00CE04DC">
      <w:pPr>
        <w:rPr>
          <w:sz w:val="20"/>
          <w:szCs w:val="20"/>
        </w:rPr>
      </w:pPr>
      <w:r w:rsidRPr="00321BE4">
        <w:rPr>
          <w:sz w:val="20"/>
          <w:szCs w:val="20"/>
        </w:rPr>
        <w:t>There is no funding for publishing this article.</w:t>
      </w:r>
    </w:p>
    <w:p w14:paraId="4F49CD6E" w14:textId="77777777" w:rsidR="00815BFC" w:rsidRPr="00321BE4" w:rsidRDefault="00815BFC" w:rsidP="00CE04DC">
      <w:pPr>
        <w:rPr>
          <w:sz w:val="20"/>
          <w:szCs w:val="20"/>
        </w:rPr>
      </w:pPr>
    </w:p>
    <w:p w14:paraId="024D8E9B" w14:textId="77777777" w:rsidR="00CE04DC" w:rsidRDefault="00CE04DC" w:rsidP="00CE04DC">
      <w:pPr>
        <w:rPr>
          <w:b/>
          <w:bCs/>
          <w:sz w:val="20"/>
          <w:szCs w:val="20"/>
        </w:rPr>
      </w:pPr>
      <w:r w:rsidRPr="00321BE4">
        <w:rPr>
          <w:b/>
          <w:bCs/>
          <w:sz w:val="20"/>
          <w:szCs w:val="20"/>
        </w:rPr>
        <w:t>Conflict of Interest</w:t>
      </w:r>
    </w:p>
    <w:p w14:paraId="024EA288" w14:textId="77777777" w:rsidR="00815BFC" w:rsidRPr="00321BE4" w:rsidRDefault="00815BFC" w:rsidP="00CE04DC">
      <w:pPr>
        <w:rPr>
          <w:b/>
          <w:bCs/>
          <w:sz w:val="20"/>
          <w:szCs w:val="20"/>
        </w:rPr>
      </w:pPr>
    </w:p>
    <w:p w14:paraId="74648FB2" w14:textId="77777777" w:rsidR="00CE04DC" w:rsidRDefault="00CE04DC" w:rsidP="00815BFC">
      <w:pPr>
        <w:spacing w:line="324" w:lineRule="auto"/>
        <w:jc w:val="both"/>
        <w:rPr>
          <w:b/>
          <w:bCs/>
          <w:sz w:val="20"/>
          <w:szCs w:val="20"/>
        </w:rPr>
      </w:pPr>
      <w:r w:rsidRPr="00321BE4">
        <w:rPr>
          <w:sz w:val="20"/>
          <w:szCs w:val="20"/>
        </w:rPr>
        <w:t>The authors affirm that there are no conflicts of interest associated with this publication. This study was executed independently and has not been influenced by any external funding bodie</w:t>
      </w:r>
      <w:r w:rsidRPr="00815BFC">
        <w:rPr>
          <w:sz w:val="20"/>
          <w:szCs w:val="20"/>
        </w:rPr>
        <w:t>s.</w:t>
      </w:r>
    </w:p>
    <w:p w14:paraId="6A76F13D" w14:textId="77777777" w:rsidR="00815BFC" w:rsidRPr="00321BE4" w:rsidRDefault="00815BFC" w:rsidP="00815BFC">
      <w:pPr>
        <w:spacing w:line="324" w:lineRule="auto"/>
        <w:jc w:val="both"/>
        <w:rPr>
          <w:b/>
          <w:bCs/>
          <w:sz w:val="20"/>
          <w:szCs w:val="20"/>
        </w:rPr>
      </w:pPr>
    </w:p>
    <w:p w14:paraId="6FAEC6E6" w14:textId="77777777" w:rsidR="00815BFC" w:rsidRDefault="00815BFC" w:rsidP="00CE04DC">
      <w:pPr>
        <w:jc w:val="both"/>
        <w:rPr>
          <w:b/>
          <w:bCs/>
          <w:sz w:val="20"/>
          <w:szCs w:val="20"/>
        </w:rPr>
      </w:pPr>
    </w:p>
    <w:p w14:paraId="50E99321" w14:textId="7011A333" w:rsidR="00CE04DC" w:rsidRDefault="00CE04DC" w:rsidP="00CE04DC">
      <w:pPr>
        <w:jc w:val="both"/>
        <w:rPr>
          <w:b/>
          <w:bCs/>
          <w:sz w:val="20"/>
          <w:szCs w:val="20"/>
        </w:rPr>
      </w:pPr>
      <w:r w:rsidRPr="00321BE4">
        <w:rPr>
          <w:b/>
          <w:bCs/>
          <w:sz w:val="20"/>
          <w:szCs w:val="20"/>
        </w:rPr>
        <w:t>Data Availability Statement</w:t>
      </w:r>
    </w:p>
    <w:p w14:paraId="75690409" w14:textId="77777777" w:rsidR="00815BFC" w:rsidRPr="00321BE4" w:rsidRDefault="00815BFC" w:rsidP="00CE04DC">
      <w:pPr>
        <w:jc w:val="both"/>
        <w:rPr>
          <w:b/>
          <w:bCs/>
          <w:sz w:val="20"/>
          <w:szCs w:val="20"/>
        </w:rPr>
      </w:pPr>
    </w:p>
    <w:p w14:paraId="2BBE464F" w14:textId="77777777" w:rsidR="00CE04DC" w:rsidRPr="00321BE4" w:rsidRDefault="00CE04DC" w:rsidP="00815BFC">
      <w:pPr>
        <w:spacing w:line="324" w:lineRule="auto"/>
        <w:jc w:val="both"/>
        <w:rPr>
          <w:sz w:val="20"/>
          <w:szCs w:val="20"/>
        </w:rPr>
      </w:pPr>
      <w:r w:rsidRPr="00321BE4">
        <w:rPr>
          <w:sz w:val="20"/>
          <w:szCs w:val="20"/>
        </w:rPr>
        <w:t>The data supporting the findings of this study are available from the corresponding author upon reasonable request.</w:t>
      </w:r>
    </w:p>
    <w:p w14:paraId="3D9C1F10" w14:textId="77777777" w:rsidR="00CE04DC" w:rsidRPr="00321BE4" w:rsidRDefault="00CE04DC" w:rsidP="00CE04DC">
      <w:pPr>
        <w:jc w:val="both"/>
        <w:rPr>
          <w:sz w:val="20"/>
          <w:szCs w:val="20"/>
        </w:rPr>
      </w:pPr>
    </w:p>
    <w:p w14:paraId="76D74E75" w14:textId="77777777" w:rsidR="00CE04DC" w:rsidRDefault="00CE04DC" w:rsidP="00CE04DC">
      <w:pPr>
        <w:jc w:val="both"/>
        <w:rPr>
          <w:b/>
          <w:bCs/>
          <w:sz w:val="20"/>
          <w:szCs w:val="20"/>
        </w:rPr>
      </w:pPr>
      <w:r w:rsidRPr="00321BE4">
        <w:rPr>
          <w:b/>
          <w:bCs/>
          <w:sz w:val="20"/>
          <w:szCs w:val="20"/>
        </w:rPr>
        <w:t>References</w:t>
      </w:r>
      <w:bookmarkEnd w:id="23"/>
    </w:p>
    <w:p w14:paraId="3B5192E4" w14:textId="77777777" w:rsidR="00CE04DC" w:rsidRPr="00321BE4" w:rsidRDefault="00CE04DC" w:rsidP="00CE04DC">
      <w:pPr>
        <w:jc w:val="both"/>
        <w:rPr>
          <w:b/>
          <w:bCs/>
          <w:sz w:val="20"/>
          <w:szCs w:val="20"/>
        </w:rPr>
      </w:pPr>
    </w:p>
    <w:p w14:paraId="3CE9D5B7"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b/>
          <w:bCs/>
          <w:sz w:val="20"/>
          <w:szCs w:val="20"/>
        </w:rPr>
        <w:fldChar w:fldCharType="begin"/>
      </w:r>
      <w:r w:rsidRPr="00321BE4">
        <w:rPr>
          <w:rFonts w:ascii="Times New Roman" w:hAnsi="Times New Roman" w:cs="Times New Roman"/>
          <w:b/>
          <w:bCs/>
          <w:sz w:val="20"/>
          <w:szCs w:val="20"/>
        </w:rPr>
        <w:instrText xml:space="preserve"> ADDIN ZOTERO_BIBL {"uncited":[],"omitted":[],"custom":[]} CSL_BIBLIOGRAPHY </w:instrText>
      </w:r>
      <w:r w:rsidRPr="00321BE4">
        <w:rPr>
          <w:rFonts w:ascii="Times New Roman" w:hAnsi="Times New Roman" w:cs="Times New Roman"/>
          <w:b/>
          <w:bCs/>
          <w:sz w:val="20"/>
          <w:szCs w:val="20"/>
        </w:rPr>
        <w:fldChar w:fldCharType="separate"/>
      </w:r>
      <w:r w:rsidRPr="00321BE4">
        <w:rPr>
          <w:rFonts w:ascii="Times New Roman" w:hAnsi="Times New Roman" w:cs="Times New Roman"/>
          <w:sz w:val="20"/>
          <w:szCs w:val="20"/>
        </w:rPr>
        <w:t xml:space="preserve">Alarifi, A. A., &amp; Basahal, A. S. (2023). The Role of Spousal Support in Working Mothers’ Work-Life Balance. </w:t>
      </w:r>
      <w:r w:rsidRPr="00321BE4">
        <w:rPr>
          <w:rFonts w:ascii="Times New Roman" w:hAnsi="Times New Roman" w:cs="Times New Roman"/>
          <w:i/>
          <w:iCs/>
          <w:sz w:val="20"/>
          <w:szCs w:val="20"/>
        </w:rPr>
        <w:t>International Business Research</w:t>
      </w:r>
      <w:r w:rsidRPr="00321BE4">
        <w:rPr>
          <w:rFonts w:ascii="Times New Roman" w:hAnsi="Times New Roman" w:cs="Times New Roman"/>
          <w:sz w:val="20"/>
          <w:szCs w:val="20"/>
        </w:rPr>
        <w:t>. https://api.semanticscholar.org/CorpusID:257813926</w:t>
      </w:r>
    </w:p>
    <w:p w14:paraId="71B8A704" w14:textId="77777777" w:rsidR="00CE04DC" w:rsidRPr="00321BE4" w:rsidRDefault="00CE04DC" w:rsidP="00127506">
      <w:pPr>
        <w:pStyle w:val="Bibliography"/>
        <w:spacing w:after="0" w:line="324"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Alshikh Ahmad, H., Alkhatib, A., &amp; Luo, J. (2021). Prevalence and risk factors of postpartum depression in the Middle East: A systematic review and meta-analysis. </w:t>
      </w:r>
      <w:r w:rsidRPr="00321BE4">
        <w:rPr>
          <w:rFonts w:ascii="Times New Roman" w:hAnsi="Times New Roman" w:cs="Times New Roman"/>
          <w:i/>
          <w:iCs/>
          <w:sz w:val="20"/>
          <w:szCs w:val="20"/>
        </w:rPr>
        <w:t>BMC Pregnancy and Childbirth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21</w:t>
      </w:r>
      <w:r w:rsidRPr="00321BE4">
        <w:rPr>
          <w:rFonts w:ascii="Times New Roman" w:hAnsi="Times New Roman" w:cs="Times New Roman"/>
          <w:sz w:val="20"/>
          <w:szCs w:val="20"/>
        </w:rPr>
        <w:t>(1), 542. https://doi.org/10.1186/s12884-021-04016-9</w:t>
      </w:r>
    </w:p>
    <w:p w14:paraId="53EC46FA"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Atkinson, J., Smith, V., Carroll, M., Sheaf, G., &amp; Higgins, A. (2021). Perspectives of partners of mothers who experience mental distress in the postnatal period: A systematic review and qualitative evidence synthesis. </w:t>
      </w:r>
      <w:r w:rsidRPr="00321BE4">
        <w:rPr>
          <w:rFonts w:ascii="Times New Roman" w:hAnsi="Times New Roman" w:cs="Times New Roman"/>
          <w:i/>
          <w:iCs/>
          <w:sz w:val="20"/>
          <w:szCs w:val="20"/>
        </w:rPr>
        <w:t>Midwifery</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93</w:t>
      </w:r>
      <w:r w:rsidRPr="00321BE4">
        <w:rPr>
          <w:rFonts w:ascii="Times New Roman" w:hAnsi="Times New Roman" w:cs="Times New Roman"/>
          <w:sz w:val="20"/>
          <w:szCs w:val="20"/>
        </w:rPr>
        <w:t>, 102868. https://doi.org/10.1016/j.midw.2020.102868</w:t>
      </w:r>
    </w:p>
    <w:p w14:paraId="2A6BCED8"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Bedaso, A., Adams, J., Peng, W., &amp; Sibbritt, D. (2021). The relationship between social support and mental health problems during pregnancy: A systematic review and meta-analysis. </w:t>
      </w:r>
      <w:r w:rsidRPr="00321BE4">
        <w:rPr>
          <w:rFonts w:ascii="Times New Roman" w:hAnsi="Times New Roman" w:cs="Times New Roman"/>
          <w:i/>
          <w:iCs/>
          <w:sz w:val="20"/>
          <w:szCs w:val="20"/>
        </w:rPr>
        <w:t>Reproductive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18</w:t>
      </w:r>
      <w:r w:rsidRPr="00321BE4">
        <w:rPr>
          <w:rFonts w:ascii="Times New Roman" w:hAnsi="Times New Roman" w:cs="Times New Roman"/>
          <w:sz w:val="20"/>
          <w:szCs w:val="20"/>
        </w:rPr>
        <w:t>(1), 162. https://doi.org/10.1186/s12978-021-01209-5</w:t>
      </w:r>
    </w:p>
    <w:p w14:paraId="04EB0F23"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Bianchi, S., Casper, L., &amp; Peltola, P. (1999). A cross-national look at married women’s earnings dependency. </w:t>
      </w:r>
      <w:r w:rsidRPr="00321BE4">
        <w:rPr>
          <w:rFonts w:ascii="Times New Roman" w:hAnsi="Times New Roman" w:cs="Times New Roman"/>
          <w:i/>
          <w:iCs/>
          <w:sz w:val="20"/>
          <w:szCs w:val="20"/>
        </w:rPr>
        <w:t>Gender Issues</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17</w:t>
      </w:r>
      <w:r w:rsidRPr="00321BE4">
        <w:rPr>
          <w:rFonts w:ascii="Times New Roman" w:hAnsi="Times New Roman" w:cs="Times New Roman"/>
          <w:sz w:val="20"/>
          <w:szCs w:val="20"/>
        </w:rPr>
        <w:t>(3), 3—33. https://doi.org/10.1007/s12147-999-0001-0</w:t>
      </w:r>
    </w:p>
    <w:p w14:paraId="48B05CF3"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Bonett, D., &amp; Wright, T. (2014). Cronbach’s alpha reliability: Interval estimation, hypothesis testing, and sample size planning. </w:t>
      </w:r>
      <w:r w:rsidRPr="00321BE4">
        <w:rPr>
          <w:rFonts w:ascii="Times New Roman" w:hAnsi="Times New Roman" w:cs="Times New Roman"/>
          <w:i/>
          <w:iCs/>
          <w:sz w:val="20"/>
          <w:szCs w:val="20"/>
        </w:rPr>
        <w:t>Journal of Organizational Behavior</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36</w:t>
      </w:r>
      <w:r w:rsidRPr="00321BE4">
        <w:rPr>
          <w:rFonts w:ascii="Times New Roman" w:hAnsi="Times New Roman" w:cs="Times New Roman"/>
          <w:sz w:val="20"/>
          <w:szCs w:val="20"/>
        </w:rPr>
        <w:t>. https://doi.org/10.1002/job.1960</w:t>
      </w:r>
    </w:p>
    <w:p w14:paraId="30EAA8B3"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Brym, S., Mack, J. T., Weise, V., Kopp, M., Steudte-Schmiedgen, S., &amp; Garthus-Niegel, S. (2022). Mental health of working parents during the COVID-19 pandemic: Can resilience buffer the impact of psychosocial work stress on depressive symptoms? </w:t>
      </w:r>
      <w:r w:rsidRPr="00321BE4">
        <w:rPr>
          <w:rFonts w:ascii="Times New Roman" w:hAnsi="Times New Roman" w:cs="Times New Roman"/>
          <w:i/>
          <w:iCs/>
          <w:sz w:val="20"/>
          <w:szCs w:val="20"/>
        </w:rPr>
        <w:t>BMC Public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22</w:t>
      </w:r>
      <w:r w:rsidRPr="00321BE4">
        <w:rPr>
          <w:rFonts w:ascii="Times New Roman" w:hAnsi="Times New Roman" w:cs="Times New Roman"/>
          <w:sz w:val="20"/>
          <w:szCs w:val="20"/>
        </w:rPr>
        <w:t>(1), 2426. https://doi.org/10.1186/s12889-022-14582-y</w:t>
      </w:r>
    </w:p>
    <w:p w14:paraId="3556AD60"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Byatt, N., &amp; Yonkers, K. (2021). Addressing Maternal Mental Health: Progress, Challenges, and Potential Solutions. </w:t>
      </w:r>
      <w:r w:rsidRPr="00321BE4">
        <w:rPr>
          <w:rFonts w:ascii="Times New Roman" w:hAnsi="Times New Roman" w:cs="Times New Roman"/>
          <w:i/>
          <w:iCs/>
          <w:sz w:val="20"/>
          <w:szCs w:val="20"/>
        </w:rPr>
        <w:t>Psychiatric News</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56</w:t>
      </w:r>
      <w:r w:rsidRPr="00321BE4">
        <w:rPr>
          <w:rFonts w:ascii="Times New Roman" w:hAnsi="Times New Roman" w:cs="Times New Roman"/>
          <w:sz w:val="20"/>
          <w:szCs w:val="20"/>
        </w:rPr>
        <w:t>. https://doi.org/10.1176/appi.pn.2021.4.7</w:t>
      </w:r>
    </w:p>
    <w:p w14:paraId="59460740"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Caballero, S. T., Hernáez, V. C., Espada, A. Á., &amp; Bruna, M. M. O. (2022). </w:t>
      </w:r>
      <w:r w:rsidRPr="00321BE4">
        <w:rPr>
          <w:rFonts w:ascii="Times New Roman" w:hAnsi="Times New Roman" w:cs="Times New Roman"/>
          <w:i/>
          <w:iCs/>
          <w:sz w:val="20"/>
          <w:szCs w:val="20"/>
        </w:rPr>
        <w:t>Gender roles and women’s mental health: Their influence on the demand for psychological care</w:t>
      </w:r>
      <w:r w:rsidRPr="00321BE4">
        <w:rPr>
          <w:rFonts w:ascii="Times New Roman" w:hAnsi="Times New Roman" w:cs="Times New Roman"/>
          <w:sz w:val="20"/>
          <w:szCs w:val="20"/>
        </w:rPr>
        <w:t>. 7–16. https://doi.org/10.6018/analesps.450331</w:t>
      </w:r>
    </w:p>
    <w:p w14:paraId="6E91181C"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Coates, R., Ayers, S., &amp; de Visser, R. (2014). Women’s experiences of postnatal distress: A qualitative study. </w:t>
      </w:r>
      <w:r w:rsidRPr="00321BE4">
        <w:rPr>
          <w:rFonts w:ascii="Times New Roman" w:hAnsi="Times New Roman" w:cs="Times New Roman"/>
          <w:i/>
          <w:iCs/>
          <w:sz w:val="20"/>
          <w:szCs w:val="20"/>
        </w:rPr>
        <w:t>BMC Pregnancy and Childbirth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14</w:t>
      </w:r>
      <w:r w:rsidRPr="00321BE4">
        <w:rPr>
          <w:rFonts w:ascii="Times New Roman" w:hAnsi="Times New Roman" w:cs="Times New Roman"/>
          <w:sz w:val="20"/>
          <w:szCs w:val="20"/>
        </w:rPr>
        <w:t>, 359. https://doi.org/10.1186/1471-2393-14-359</w:t>
      </w:r>
    </w:p>
    <w:p w14:paraId="4F56DFA9"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Dey, B., Bairagi, A., Kabir, S. M., &amp; Shahrier, Mohd. A. (2017). Parenting Stress and Children Depression. </w:t>
      </w:r>
      <w:r w:rsidRPr="00321BE4">
        <w:rPr>
          <w:rFonts w:ascii="Times New Roman" w:hAnsi="Times New Roman" w:cs="Times New Roman"/>
          <w:i/>
          <w:iCs/>
          <w:sz w:val="20"/>
          <w:szCs w:val="20"/>
        </w:rPr>
        <w:t>The Chittagong University Journal of Biological Science</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The Chittagong University Journal of Biological Science, 7</w:t>
      </w:r>
      <w:r w:rsidRPr="00321BE4">
        <w:rPr>
          <w:rFonts w:ascii="Times New Roman" w:hAnsi="Times New Roman" w:cs="Times New Roman"/>
          <w:sz w:val="20"/>
          <w:szCs w:val="20"/>
        </w:rPr>
        <w:t>, 151–165.</w:t>
      </w:r>
    </w:p>
    <w:p w14:paraId="52CF290A"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Dizaho, E. K. (2016). </w:t>
      </w:r>
      <w:r w:rsidRPr="00321BE4">
        <w:rPr>
          <w:rFonts w:ascii="Times New Roman" w:hAnsi="Times New Roman" w:cs="Times New Roman"/>
          <w:i/>
          <w:iCs/>
          <w:sz w:val="20"/>
          <w:szCs w:val="20"/>
        </w:rPr>
        <w:t>The Impact of Work-Family Conflict on Working Mothe rs ’ Career Development: A Review of Literature</w:t>
      </w:r>
      <w:r w:rsidRPr="00321BE4">
        <w:rPr>
          <w:rFonts w:ascii="Times New Roman" w:hAnsi="Times New Roman" w:cs="Times New Roman"/>
          <w:sz w:val="20"/>
          <w:szCs w:val="20"/>
        </w:rPr>
        <w:t>. https://api.semanticscholar.org/CorpusID:195835501</w:t>
      </w:r>
    </w:p>
    <w:p w14:paraId="70664BE2"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Do-Thi, P., &amp; Do, I. (2022). Quantitative Methodology: Applied Modeling by Using AMOS (Step-By-Step). In S. A. Abdul Karim (Ed.), </w:t>
      </w:r>
      <w:r w:rsidRPr="00321BE4">
        <w:rPr>
          <w:rFonts w:ascii="Times New Roman" w:hAnsi="Times New Roman" w:cs="Times New Roman"/>
          <w:i/>
          <w:iCs/>
          <w:sz w:val="20"/>
          <w:szCs w:val="20"/>
        </w:rPr>
        <w:t>Intelligent Systems Modeling and Simulation II: Machine Learning, Neural Networks, Efficient Numerical Algorithm and Statistical Methods</w:t>
      </w:r>
      <w:r w:rsidRPr="00321BE4">
        <w:rPr>
          <w:rFonts w:ascii="Times New Roman" w:hAnsi="Times New Roman" w:cs="Times New Roman"/>
          <w:sz w:val="20"/>
          <w:szCs w:val="20"/>
        </w:rPr>
        <w:t xml:space="preserve"> (pp. 645–660). Springer International Publishing. https://doi.org/10.1007/978-3-031-04028-3_40</w:t>
      </w:r>
    </w:p>
    <w:p w14:paraId="1F7A027B"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Ernawati, E., Mawardi, F., Roswiyani, R., Melissa, M., Wiwaha, G., Tiatri, S., &amp; Hilmanto, D. (2022). Workplace wellness programs for working mothers: A systematic review. </w:t>
      </w:r>
      <w:r w:rsidRPr="00321BE4">
        <w:rPr>
          <w:rFonts w:ascii="Times New Roman" w:hAnsi="Times New Roman" w:cs="Times New Roman"/>
          <w:i/>
          <w:iCs/>
          <w:sz w:val="20"/>
          <w:szCs w:val="20"/>
        </w:rPr>
        <w:t>Journal of Occupational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64</w:t>
      </w:r>
      <w:r w:rsidRPr="00321BE4">
        <w:rPr>
          <w:rFonts w:ascii="Times New Roman" w:hAnsi="Times New Roman" w:cs="Times New Roman"/>
          <w:sz w:val="20"/>
          <w:szCs w:val="20"/>
        </w:rPr>
        <w:t>(1), e12379. https://doi.org/10.1002/1348-9585.12379</w:t>
      </w:r>
    </w:p>
    <w:p w14:paraId="26BDF962"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Flaherty, S. C., &amp; Sadler, L. S. (2022). Parenting Stress Among Adolescent Mothers: An Integrative Literature Review. </w:t>
      </w:r>
      <w:r w:rsidRPr="00321BE4">
        <w:rPr>
          <w:rFonts w:ascii="Times New Roman" w:hAnsi="Times New Roman" w:cs="Times New Roman"/>
          <w:i/>
          <w:iCs/>
          <w:sz w:val="20"/>
          <w:szCs w:val="20"/>
        </w:rPr>
        <w:t>Western Journal of Nursing Research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44</w:t>
      </w:r>
      <w:r w:rsidRPr="00321BE4">
        <w:rPr>
          <w:rFonts w:ascii="Times New Roman" w:hAnsi="Times New Roman" w:cs="Times New Roman"/>
          <w:sz w:val="20"/>
          <w:szCs w:val="20"/>
        </w:rPr>
        <w:t>(7), 701–719. https://doi.org/10.1177/01939459211014241</w:t>
      </w:r>
    </w:p>
    <w:p w14:paraId="6114F021"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Hanlon, C. (2013). Maternal depression in low- and middle-income countries. </w:t>
      </w:r>
      <w:r w:rsidRPr="00321BE4">
        <w:rPr>
          <w:rFonts w:ascii="Times New Roman" w:hAnsi="Times New Roman" w:cs="Times New Roman"/>
          <w:i/>
          <w:iCs/>
          <w:sz w:val="20"/>
          <w:szCs w:val="20"/>
        </w:rPr>
        <w:t>International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5</w:t>
      </w:r>
      <w:r w:rsidRPr="00321BE4">
        <w:rPr>
          <w:rFonts w:ascii="Times New Roman" w:hAnsi="Times New Roman" w:cs="Times New Roman"/>
          <w:sz w:val="20"/>
          <w:szCs w:val="20"/>
        </w:rPr>
        <w:t>(1), 4–5. https://doi.org/10.1093/inthealth/ihs003</w:t>
      </w:r>
    </w:p>
    <w:p w14:paraId="7B4CFF6C"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Ilska, M., &amp; Przybyła-Basista, H. (2017). Partner support as a mediator of the relationship between prenatal concerns and psychological well-being in pregnant women. </w:t>
      </w:r>
      <w:r w:rsidRPr="00321BE4">
        <w:rPr>
          <w:rFonts w:ascii="Times New Roman" w:hAnsi="Times New Roman" w:cs="Times New Roman"/>
          <w:i/>
          <w:iCs/>
          <w:sz w:val="20"/>
          <w:szCs w:val="20"/>
        </w:rPr>
        <w:t>Health Psychology Report</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5</w:t>
      </w:r>
      <w:r w:rsidRPr="00321BE4">
        <w:rPr>
          <w:rFonts w:ascii="Times New Roman" w:hAnsi="Times New Roman" w:cs="Times New Roman"/>
          <w:sz w:val="20"/>
          <w:szCs w:val="20"/>
        </w:rPr>
        <w:t>(4), Article 4. https://doi.org/10.5114/hpr.2017.68235</w:t>
      </w:r>
    </w:p>
    <w:p w14:paraId="53EFBF7B"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Ilska, M., &amp; Przybyła-Basista, H. (2020). The role of partner support, ego-resiliency, prenatal attitudes towards maternity and pregnancy in psychological well-being of women in high-risk and low-risk  pregnancy. </w:t>
      </w:r>
      <w:r w:rsidRPr="00321BE4">
        <w:rPr>
          <w:rFonts w:ascii="Times New Roman" w:hAnsi="Times New Roman" w:cs="Times New Roman"/>
          <w:i/>
          <w:iCs/>
          <w:sz w:val="20"/>
          <w:szCs w:val="20"/>
        </w:rPr>
        <w:t>Psychology, Health &amp; Medicine</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25</w:t>
      </w:r>
      <w:r w:rsidRPr="00321BE4">
        <w:rPr>
          <w:rFonts w:ascii="Times New Roman" w:hAnsi="Times New Roman" w:cs="Times New Roman"/>
          <w:sz w:val="20"/>
          <w:szCs w:val="20"/>
        </w:rPr>
        <w:t>(5), 630–638. https://doi.org/10.1080/13548506.2020.1737718</w:t>
      </w:r>
    </w:p>
    <w:p w14:paraId="2F91A53B"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Jidong, D. E., Husain, N., Roche, A., Lourie, G., Ike, T. J., Murshed, M., Park, M. S., Karick, H., Dagona, Z. K., Pwajok, J. Y., Gumber, A., Francis, C., Nyam, P. P., &amp; Mwankon, S. B. (2021). Psychological interventions for maternal depression among women of African and Caribbean origin: A systematic review. </w:t>
      </w:r>
      <w:r w:rsidRPr="00321BE4">
        <w:rPr>
          <w:rFonts w:ascii="Times New Roman" w:hAnsi="Times New Roman" w:cs="Times New Roman"/>
          <w:i/>
          <w:iCs/>
          <w:sz w:val="20"/>
          <w:szCs w:val="20"/>
        </w:rPr>
        <w:t>BMC Women’s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21</w:t>
      </w:r>
      <w:r w:rsidRPr="00321BE4">
        <w:rPr>
          <w:rFonts w:ascii="Times New Roman" w:hAnsi="Times New Roman" w:cs="Times New Roman"/>
          <w:sz w:val="20"/>
          <w:szCs w:val="20"/>
        </w:rPr>
        <w:t>(1), 83. https://doi.org/10.1186/s12905-021-01202-x</w:t>
      </w:r>
    </w:p>
    <w:p w14:paraId="017C9038"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Kroenke, K., &amp; Spitzer, R. L. (2002). The PHQ-9: A new depression diagnostic and severity measure. </w:t>
      </w:r>
      <w:r w:rsidRPr="00321BE4">
        <w:rPr>
          <w:rFonts w:ascii="Times New Roman" w:hAnsi="Times New Roman" w:cs="Times New Roman"/>
          <w:i/>
          <w:iCs/>
          <w:sz w:val="20"/>
          <w:szCs w:val="20"/>
        </w:rPr>
        <w:t>Psychiatric Annals</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32</w:t>
      </w:r>
      <w:r w:rsidRPr="00321BE4">
        <w:rPr>
          <w:rFonts w:ascii="Times New Roman" w:hAnsi="Times New Roman" w:cs="Times New Roman"/>
          <w:sz w:val="20"/>
          <w:szCs w:val="20"/>
        </w:rPr>
        <w:t>(9), 509–515. https://doi.org/10.3928/0048-5713-20020901-06</w:t>
      </w:r>
    </w:p>
    <w:p w14:paraId="22B56845"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Lewis, S., Lee, A., &amp; Simkhada, P. (2015). The role of Spousals in maternal health and safe childbirth in rural Nepal: A qualitative study. </w:t>
      </w:r>
      <w:r w:rsidRPr="00321BE4">
        <w:rPr>
          <w:rFonts w:ascii="Times New Roman" w:hAnsi="Times New Roman" w:cs="Times New Roman"/>
          <w:i/>
          <w:iCs/>
          <w:sz w:val="20"/>
          <w:szCs w:val="20"/>
        </w:rPr>
        <w:t>BMC Pregnancy and Childbirth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15</w:t>
      </w:r>
      <w:r w:rsidRPr="00321BE4">
        <w:rPr>
          <w:rFonts w:ascii="Times New Roman" w:hAnsi="Times New Roman" w:cs="Times New Roman"/>
          <w:sz w:val="20"/>
          <w:szCs w:val="20"/>
        </w:rPr>
        <w:t>, 162. https://doi.org/10.1186/s12884-015-0599-8</w:t>
      </w:r>
    </w:p>
    <w:p w14:paraId="246DF430"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Marsh, H. W., Guo, J., Dicke, T., Parker, P. D., &amp; Craven, R. G. (2020). Confirmatory Factor Analysis (CFA), Exploratory Structural Equation Modeling (ESEM), and Set-ESEM: Optimal Balance Between Goodness of Fit and Parsimony. </w:t>
      </w:r>
      <w:r w:rsidRPr="00321BE4">
        <w:rPr>
          <w:rFonts w:ascii="Times New Roman" w:hAnsi="Times New Roman" w:cs="Times New Roman"/>
          <w:i/>
          <w:iCs/>
          <w:sz w:val="20"/>
          <w:szCs w:val="20"/>
        </w:rPr>
        <w:t>Multivariate Behavioral Research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55</w:t>
      </w:r>
      <w:r w:rsidRPr="00321BE4">
        <w:rPr>
          <w:rFonts w:ascii="Times New Roman" w:hAnsi="Times New Roman" w:cs="Times New Roman"/>
          <w:sz w:val="20"/>
          <w:szCs w:val="20"/>
        </w:rPr>
        <w:t>(1), 102–119. https://doi.org/10.1080/00273171.2019.1602503</w:t>
      </w:r>
    </w:p>
    <w:p w14:paraId="293DA19B"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Montagnoli, C., Zanconato, G., Cinelli, G., Tozzi, A. E., Bovo, C., Bortolus, R., &amp; Ruggeri, S. (2020). Maternal mental health and reproductive outcomes: A scoping review of the current literature. </w:t>
      </w:r>
      <w:r w:rsidRPr="00321BE4">
        <w:rPr>
          <w:rFonts w:ascii="Times New Roman" w:hAnsi="Times New Roman" w:cs="Times New Roman"/>
          <w:i/>
          <w:iCs/>
          <w:sz w:val="20"/>
          <w:szCs w:val="20"/>
        </w:rPr>
        <w:t>Archives of Gynecology and Obstetrics</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302</w:t>
      </w:r>
      <w:r w:rsidRPr="00321BE4">
        <w:rPr>
          <w:rFonts w:ascii="Times New Roman" w:hAnsi="Times New Roman" w:cs="Times New Roman"/>
          <w:sz w:val="20"/>
          <w:szCs w:val="20"/>
        </w:rPr>
        <w:t>(4), 801–819. https://doi.org/10.1007/s00404-020-05685-1</w:t>
      </w:r>
    </w:p>
    <w:p w14:paraId="3C6D7011"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Naaz, N., Mehnaz, S., Ansari, M. A., &amp; Amir, A. (2021). Maternal mental health and its determinants—A community-based cross-sectional study in Aligarh, Uttar Pradesh. </w:t>
      </w:r>
      <w:r w:rsidRPr="00321BE4">
        <w:rPr>
          <w:rFonts w:ascii="Times New Roman" w:hAnsi="Times New Roman" w:cs="Times New Roman"/>
          <w:i/>
          <w:iCs/>
          <w:sz w:val="20"/>
          <w:szCs w:val="20"/>
        </w:rPr>
        <w:t>Indian Journal of Public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65</w:t>
      </w:r>
      <w:r w:rsidRPr="00321BE4">
        <w:rPr>
          <w:rFonts w:ascii="Times New Roman" w:hAnsi="Times New Roman" w:cs="Times New Roman"/>
          <w:sz w:val="20"/>
          <w:szCs w:val="20"/>
        </w:rPr>
        <w:t>(1), 16–21. https://doi.org/10.4103/ijph.IJPH_193_20</w:t>
      </w:r>
    </w:p>
    <w:p w14:paraId="4D711993"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Nahar, J. S., Algin, S., Sajib, M. W. H., Ahmed, S., &amp; Arafat, S. M. Y. (2020). Depressive and anxiety disorders among single mothers in Dhaka. </w:t>
      </w:r>
      <w:r w:rsidRPr="00321BE4">
        <w:rPr>
          <w:rFonts w:ascii="Times New Roman" w:hAnsi="Times New Roman" w:cs="Times New Roman"/>
          <w:i/>
          <w:iCs/>
          <w:sz w:val="20"/>
          <w:szCs w:val="20"/>
        </w:rPr>
        <w:t>The International Journal of Social Psychiatry</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66</w:t>
      </w:r>
      <w:r w:rsidRPr="00321BE4">
        <w:rPr>
          <w:rFonts w:ascii="Times New Roman" w:hAnsi="Times New Roman" w:cs="Times New Roman"/>
          <w:sz w:val="20"/>
          <w:szCs w:val="20"/>
        </w:rPr>
        <w:t>(5), 485–488. https://doi.org/10.1177/0020764020920671</w:t>
      </w:r>
    </w:p>
    <w:p w14:paraId="06EEF306"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Pebryatie, E., Paek, S. C., Sherer, P., &amp; Meemon, N. (2022). Associations Between Spousal Relationship, Spousal Involvement, and Postpartum Depression Among Postpartum Mothers in West Java, Indonesia. </w:t>
      </w:r>
      <w:r w:rsidRPr="00321BE4">
        <w:rPr>
          <w:rFonts w:ascii="Times New Roman" w:hAnsi="Times New Roman" w:cs="Times New Roman"/>
          <w:i/>
          <w:iCs/>
          <w:sz w:val="20"/>
          <w:szCs w:val="20"/>
        </w:rPr>
        <w:t>Journal of Primary Care &amp; Community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13</w:t>
      </w:r>
      <w:r w:rsidRPr="00321BE4">
        <w:rPr>
          <w:rFonts w:ascii="Times New Roman" w:hAnsi="Times New Roman" w:cs="Times New Roman"/>
          <w:sz w:val="20"/>
          <w:szCs w:val="20"/>
        </w:rPr>
        <w:t>, 21501319221088355. https://doi.org/10.1177/21501319221088355</w:t>
      </w:r>
    </w:p>
    <w:p w14:paraId="17EDDFC2"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Pezley, L., Cares, K., Duffecy, J., Koenig, M. D., Maki, P., Odoms-Young, A., Clark Withington, M. H., Lima Oliveira, M., Loiacono, B., Prough, J., Tussing-Humphreys, L., &amp; Buscemi, J. (2022). Efficacy of behavioral interventions to improve maternal mental health and breastfeeding outcomes: A systematic review. </w:t>
      </w:r>
      <w:r w:rsidRPr="00321BE4">
        <w:rPr>
          <w:rFonts w:ascii="Times New Roman" w:hAnsi="Times New Roman" w:cs="Times New Roman"/>
          <w:i/>
          <w:iCs/>
          <w:sz w:val="20"/>
          <w:szCs w:val="20"/>
        </w:rPr>
        <w:t>International Breastfeeding Journal</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17</w:t>
      </w:r>
      <w:r w:rsidRPr="00321BE4">
        <w:rPr>
          <w:rFonts w:ascii="Times New Roman" w:hAnsi="Times New Roman" w:cs="Times New Roman"/>
          <w:sz w:val="20"/>
          <w:szCs w:val="20"/>
        </w:rPr>
        <w:t>(1), 67. https://doi.org/10.1186/s13006-022-00501-9</w:t>
      </w:r>
    </w:p>
    <w:p w14:paraId="1BADE042"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Qi, W., Liu, Y., Lv, H., Ge, J., Meng, Y., Zhao, N., Zhao, F., Guo, Q., &amp; Hu, J. (2022). Effects of family relationship and social support on the mental health of Chinese postpartum women. </w:t>
      </w:r>
      <w:r w:rsidRPr="00321BE4">
        <w:rPr>
          <w:rFonts w:ascii="Times New Roman" w:hAnsi="Times New Roman" w:cs="Times New Roman"/>
          <w:i/>
          <w:iCs/>
          <w:sz w:val="20"/>
          <w:szCs w:val="20"/>
        </w:rPr>
        <w:t>BMC Pregnancy and Childbirth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22</w:t>
      </w:r>
      <w:r w:rsidRPr="00321BE4">
        <w:rPr>
          <w:rFonts w:ascii="Times New Roman" w:hAnsi="Times New Roman" w:cs="Times New Roman"/>
          <w:sz w:val="20"/>
          <w:szCs w:val="20"/>
        </w:rPr>
        <w:t>(1), 65. https://doi.org/10.1186/s12884-022-04392-w</w:t>
      </w:r>
    </w:p>
    <w:p w14:paraId="78810217"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Rajgariah, R., Chandrashekarappa, S. M., Babu, D. K. V., Gopi, A., Ramaiha, N. M. M., &amp; Kumar, J. (2021). Parenting stress and coping strategies adopted among working and non-working mothers and its association with socio-demographic variables: A cross-sectional study. </w:t>
      </w:r>
      <w:r w:rsidRPr="00321BE4">
        <w:rPr>
          <w:rFonts w:ascii="Times New Roman" w:hAnsi="Times New Roman" w:cs="Times New Roman"/>
          <w:i/>
          <w:iCs/>
          <w:sz w:val="20"/>
          <w:szCs w:val="20"/>
        </w:rPr>
        <w:t>Clinical Epidemiology and Global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9</w:t>
      </w:r>
      <w:r w:rsidRPr="00321BE4">
        <w:rPr>
          <w:rFonts w:ascii="Times New Roman" w:hAnsi="Times New Roman" w:cs="Times New Roman"/>
          <w:sz w:val="20"/>
          <w:szCs w:val="20"/>
        </w:rPr>
        <w:t>, 191–195. https://doi.org/10.1016/j.cegh.2020.08.013</w:t>
      </w:r>
    </w:p>
    <w:p w14:paraId="083A1C74"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Razurel, C., Kaiser, B., Sellenet, C., &amp; Epiney, M. (2013). Relation between perceived stress, social support, and coping strategies and maternal well-being: A review of the literature. </w:t>
      </w:r>
      <w:r w:rsidRPr="00321BE4">
        <w:rPr>
          <w:rFonts w:ascii="Times New Roman" w:hAnsi="Times New Roman" w:cs="Times New Roman"/>
          <w:i/>
          <w:iCs/>
          <w:sz w:val="20"/>
          <w:szCs w:val="20"/>
        </w:rPr>
        <w:t>Women &amp; Health</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53</w:t>
      </w:r>
      <w:r w:rsidRPr="00321BE4">
        <w:rPr>
          <w:rFonts w:ascii="Times New Roman" w:hAnsi="Times New Roman" w:cs="Times New Roman"/>
          <w:sz w:val="20"/>
          <w:szCs w:val="20"/>
        </w:rPr>
        <w:t>(1), 74–99. https://doi.org/10.1080/03630242.2012.732681</w:t>
      </w:r>
    </w:p>
    <w:p w14:paraId="3862376D"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Reise, S. P., Ainsworth, A. T., &amp; Haviland, M. G. (2005). Item Response Theory: Fundamentals, Applications, and Promise in Psychological Research. </w:t>
      </w:r>
      <w:r w:rsidRPr="00321BE4">
        <w:rPr>
          <w:rFonts w:ascii="Times New Roman" w:hAnsi="Times New Roman" w:cs="Times New Roman"/>
          <w:i/>
          <w:iCs/>
          <w:sz w:val="20"/>
          <w:szCs w:val="20"/>
        </w:rPr>
        <w:t>Current Directions in Psychological Science</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14</w:t>
      </w:r>
      <w:r w:rsidRPr="00321BE4">
        <w:rPr>
          <w:rFonts w:ascii="Times New Roman" w:hAnsi="Times New Roman" w:cs="Times New Roman"/>
          <w:sz w:val="20"/>
          <w:szCs w:val="20"/>
        </w:rPr>
        <w:t>(2), 95–101. https://doi.org/10.1111/j.0963-7214.2005.00342.x</w:t>
      </w:r>
    </w:p>
    <w:p w14:paraId="2AF52DA9"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Suryawanshi, D. S., Rajaseharan, D., &amp; Venugopal, R. (2021). Involvement of Spousal in maternal and child health care in rural field practice area of a tertiary medical college in South India-A mixed method study. </w:t>
      </w:r>
      <w:r w:rsidRPr="00321BE4">
        <w:rPr>
          <w:rFonts w:ascii="Times New Roman" w:hAnsi="Times New Roman" w:cs="Times New Roman"/>
          <w:i/>
          <w:iCs/>
          <w:sz w:val="20"/>
          <w:szCs w:val="20"/>
        </w:rPr>
        <w:t>Journal of Family Medicine and Primary Care</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10</w:t>
      </w:r>
      <w:r w:rsidRPr="00321BE4">
        <w:rPr>
          <w:rFonts w:ascii="Times New Roman" w:hAnsi="Times New Roman" w:cs="Times New Roman"/>
          <w:sz w:val="20"/>
          <w:szCs w:val="20"/>
        </w:rPr>
        <w:t>(8), 2829–2833. https://doi.org/10.4103/jfmpc.jfmpc_2342_20</w:t>
      </w:r>
    </w:p>
    <w:p w14:paraId="1AE576CD"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Weiss, S. J., &amp; Xu, L. (2024). Postpartum symptoms of anxiety, depression and stress: Differential relationships to women’s cortisol profiles. </w:t>
      </w:r>
      <w:r w:rsidRPr="00321BE4">
        <w:rPr>
          <w:rFonts w:ascii="Times New Roman" w:hAnsi="Times New Roman" w:cs="Times New Roman"/>
          <w:i/>
          <w:iCs/>
          <w:sz w:val="20"/>
          <w:szCs w:val="20"/>
        </w:rPr>
        <w:t>Archives of Women’s Mental Health</w:t>
      </w:r>
      <w:r w:rsidRPr="00321BE4">
        <w:rPr>
          <w:rFonts w:ascii="Times New Roman" w:hAnsi="Times New Roman" w:cs="Times New Roman"/>
          <w:sz w:val="20"/>
          <w:szCs w:val="20"/>
        </w:rPr>
        <w:t>. https://doi.org/10.1007/s00737-024-01421-9</w:t>
      </w:r>
    </w:p>
    <w:p w14:paraId="700B581B"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Williams, A., Sarker, M., &amp; Ferdous, S. T. (2018). Cultural Attitudes toward Postpartum Depression in Dhaka, Bangladesh. </w:t>
      </w:r>
      <w:r w:rsidRPr="00321BE4">
        <w:rPr>
          <w:rFonts w:ascii="Times New Roman" w:hAnsi="Times New Roman" w:cs="Times New Roman"/>
          <w:i/>
          <w:iCs/>
          <w:sz w:val="20"/>
          <w:szCs w:val="20"/>
        </w:rPr>
        <w:t>Medical Anthropology</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37</w:t>
      </w:r>
      <w:r w:rsidRPr="00321BE4">
        <w:rPr>
          <w:rFonts w:ascii="Times New Roman" w:hAnsi="Times New Roman" w:cs="Times New Roman"/>
          <w:sz w:val="20"/>
          <w:szCs w:val="20"/>
        </w:rPr>
        <w:t>(3), 194–205. https://doi.org/10.1080/01459740.2017.1318875</w:t>
      </w:r>
    </w:p>
    <w:p w14:paraId="7E400881"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World Medical Association. (2013). World Medical Association Declaration of Helsinki: Ethical principles for medical research involving human subjects. </w:t>
      </w:r>
      <w:r w:rsidRPr="00321BE4">
        <w:rPr>
          <w:rFonts w:ascii="Times New Roman" w:hAnsi="Times New Roman" w:cs="Times New Roman"/>
          <w:i/>
          <w:iCs/>
          <w:sz w:val="20"/>
          <w:szCs w:val="20"/>
        </w:rPr>
        <w:t>JAMA</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310</w:t>
      </w:r>
      <w:r w:rsidRPr="00321BE4">
        <w:rPr>
          <w:rFonts w:ascii="Times New Roman" w:hAnsi="Times New Roman" w:cs="Times New Roman"/>
          <w:sz w:val="20"/>
          <w:szCs w:val="20"/>
        </w:rPr>
        <w:t>(20), 2191–2194. https://doi.org/10.1001/jama.2013.281053</w:t>
      </w:r>
    </w:p>
    <w:p w14:paraId="79933113" w14:textId="77777777" w:rsidR="00CE04DC" w:rsidRPr="00321BE4" w:rsidRDefault="00CE04DC" w:rsidP="00127506">
      <w:pPr>
        <w:pStyle w:val="Bibliography"/>
        <w:spacing w:after="0" w:line="240" w:lineRule="auto"/>
        <w:ind w:left="567" w:hanging="567"/>
        <w:jc w:val="both"/>
        <w:rPr>
          <w:rFonts w:ascii="Times New Roman" w:hAnsi="Times New Roman" w:cs="Times New Roman"/>
          <w:sz w:val="20"/>
          <w:szCs w:val="20"/>
        </w:rPr>
      </w:pPr>
      <w:r w:rsidRPr="00321BE4">
        <w:rPr>
          <w:rFonts w:ascii="Times New Roman" w:hAnsi="Times New Roman" w:cs="Times New Roman"/>
          <w:sz w:val="20"/>
          <w:szCs w:val="20"/>
        </w:rPr>
        <w:t xml:space="preserve">Yang, C., Gao, H., Li, Y., Wang, E., Wang, N., &amp; Wang, Q. (2022). Analyzing the role of family support, coping strategies and social support in improving the mental health of students: Evidence from post COVID-19. </w:t>
      </w:r>
      <w:r w:rsidRPr="00321BE4">
        <w:rPr>
          <w:rFonts w:ascii="Times New Roman" w:hAnsi="Times New Roman" w:cs="Times New Roman"/>
          <w:i/>
          <w:iCs/>
          <w:sz w:val="20"/>
          <w:szCs w:val="20"/>
        </w:rPr>
        <w:t>Frontiers in Psychology</w:t>
      </w:r>
      <w:r w:rsidRPr="00321BE4">
        <w:rPr>
          <w:rFonts w:ascii="Times New Roman" w:hAnsi="Times New Roman" w:cs="Times New Roman"/>
          <w:sz w:val="20"/>
          <w:szCs w:val="20"/>
        </w:rPr>
        <w:t xml:space="preserve">, </w:t>
      </w:r>
      <w:r w:rsidRPr="00321BE4">
        <w:rPr>
          <w:rFonts w:ascii="Times New Roman" w:hAnsi="Times New Roman" w:cs="Times New Roman"/>
          <w:i/>
          <w:iCs/>
          <w:sz w:val="20"/>
          <w:szCs w:val="20"/>
        </w:rPr>
        <w:t>13</w:t>
      </w:r>
      <w:r w:rsidRPr="00321BE4">
        <w:rPr>
          <w:rFonts w:ascii="Times New Roman" w:hAnsi="Times New Roman" w:cs="Times New Roman"/>
          <w:sz w:val="20"/>
          <w:szCs w:val="20"/>
        </w:rPr>
        <w:t>, 1064898. https://doi.org/10.3389/fpsyg.2022.1064898</w:t>
      </w:r>
    </w:p>
    <w:p w14:paraId="1ECE9B9E" w14:textId="77777777" w:rsidR="00CE04DC" w:rsidRPr="00321BE4" w:rsidRDefault="00CE04DC" w:rsidP="00127506">
      <w:pPr>
        <w:ind w:left="567" w:hanging="567"/>
        <w:jc w:val="both"/>
        <w:rPr>
          <w:sz w:val="20"/>
          <w:szCs w:val="20"/>
        </w:rPr>
      </w:pPr>
      <w:r w:rsidRPr="00321BE4">
        <w:rPr>
          <w:b/>
          <w:bCs/>
          <w:sz w:val="20"/>
          <w:szCs w:val="20"/>
        </w:rPr>
        <w:fldChar w:fldCharType="end"/>
      </w:r>
    </w:p>
    <w:p w14:paraId="2852479F" w14:textId="77777777" w:rsidR="005B5833" w:rsidRDefault="005B5833" w:rsidP="0014552E">
      <w:pPr>
        <w:ind w:left="851" w:right="645"/>
        <w:jc w:val="center"/>
        <w:rPr>
          <w:b/>
          <w:bCs/>
          <w:sz w:val="22"/>
          <w:szCs w:val="22"/>
        </w:rPr>
      </w:pPr>
    </w:p>
    <w:p w14:paraId="493D9CB6" w14:textId="77777777" w:rsidR="005B5833" w:rsidRDefault="005B5833" w:rsidP="0014552E">
      <w:pPr>
        <w:ind w:left="851" w:right="645"/>
        <w:jc w:val="center"/>
        <w:rPr>
          <w:b/>
          <w:bCs/>
          <w:sz w:val="22"/>
          <w:szCs w:val="22"/>
        </w:rPr>
      </w:pPr>
    </w:p>
    <w:p w14:paraId="5048F7E6" w14:textId="77777777" w:rsidR="005B5833" w:rsidRDefault="005B5833" w:rsidP="0014552E">
      <w:pPr>
        <w:ind w:left="851" w:right="645"/>
        <w:jc w:val="center"/>
        <w:rPr>
          <w:b/>
          <w:bCs/>
          <w:sz w:val="22"/>
          <w:szCs w:val="22"/>
        </w:rPr>
      </w:pPr>
    </w:p>
    <w:p w14:paraId="314AD820" w14:textId="77777777" w:rsidR="005B5833" w:rsidRDefault="005B5833" w:rsidP="0014552E">
      <w:pPr>
        <w:ind w:left="851" w:right="645"/>
        <w:jc w:val="center"/>
        <w:rPr>
          <w:b/>
          <w:bCs/>
          <w:sz w:val="22"/>
          <w:szCs w:val="22"/>
        </w:rPr>
      </w:pPr>
    </w:p>
    <w:p w14:paraId="28FF9569" w14:textId="77777777" w:rsidR="005B5833" w:rsidRDefault="005B5833" w:rsidP="0014552E">
      <w:pPr>
        <w:ind w:left="851" w:right="645"/>
        <w:jc w:val="center"/>
        <w:rPr>
          <w:b/>
          <w:bCs/>
          <w:sz w:val="22"/>
          <w:szCs w:val="22"/>
        </w:rPr>
      </w:pPr>
    </w:p>
    <w:bookmarkEnd w:id="1"/>
    <w:p w14:paraId="6414950B" w14:textId="77777777" w:rsidR="005B5833" w:rsidRDefault="005B5833" w:rsidP="00CE04DC">
      <w:pPr>
        <w:ind w:right="645"/>
        <w:rPr>
          <w:b/>
          <w:bCs/>
          <w:sz w:val="22"/>
          <w:szCs w:val="22"/>
        </w:rPr>
      </w:pPr>
    </w:p>
    <w:sectPr w:rsidR="005B5833" w:rsidSect="003C2BD4">
      <w:headerReference w:type="even" r:id="rId45"/>
      <w:headerReference w:type="default" r:id="rId46"/>
      <w:footerReference w:type="even" r:id="rId47"/>
      <w:footerReference w:type="default" r:id="rId48"/>
      <w:headerReference w:type="first" r:id="rId49"/>
      <w:footerReference w:type="first" r:id="rId50"/>
      <w:footnotePr>
        <w:numFmt w:val="chicago"/>
        <w:numRestart w:val="eachSect"/>
      </w:footnotePr>
      <w:endnotePr>
        <w:numRestart w:val="eachSect"/>
      </w:endnotePr>
      <w:pgSz w:w="10800" w:h="14400" w:code="9"/>
      <w:pgMar w:top="1151" w:right="1440" w:bottom="1151" w:left="1627" w:header="720" w:footer="720" w:gutter="0"/>
      <w:pgNumType w:start="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72A90" w14:textId="77777777" w:rsidR="00320C78" w:rsidRDefault="00320C78">
      <w:r>
        <w:separator/>
      </w:r>
    </w:p>
  </w:endnote>
  <w:endnote w:type="continuationSeparator" w:id="0">
    <w:p w14:paraId="03B5523B" w14:textId="77777777" w:rsidR="00320C78" w:rsidRDefault="0032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MR10">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ikosh">
    <w:charset w:val="00"/>
    <w:family w:val="auto"/>
    <w:pitch w:val="variable"/>
    <w:sig w:usb0="00018003" w:usb1="00000000" w:usb2="00000000" w:usb3="00000000" w:csb0="00000001" w:csb1="00000000"/>
  </w:font>
  <w:font w:name="SutonnyMJ">
    <w:panose1 w:val="00000000000000000000"/>
    <w:charset w:val="00"/>
    <w:family w:val="auto"/>
    <w:pitch w:val="variable"/>
    <w:sig w:usb0="00000003" w:usb1="00000000" w:usb2="00000000" w:usb3="00000000" w:csb0="00000001" w:csb1="00000000"/>
  </w:font>
  <w:font w:name="NikoshBAN">
    <w:panose1 w:val="00000000000000000000"/>
    <w:charset w:val="00"/>
    <w:family w:val="auto"/>
    <w:notTrueType/>
    <w:pitch w:val="variable"/>
    <w:sig w:usb0="00000003" w:usb1="00000000" w:usb2="00000000" w:usb3="00000000" w:csb0="00000001" w:csb1="00000000"/>
  </w:font>
  <w:font w:name="Charter B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066349"/>
      <w:docPartObj>
        <w:docPartGallery w:val="Page Numbers (Bottom of Page)"/>
        <w:docPartUnique/>
      </w:docPartObj>
    </w:sdtPr>
    <w:sdtEndPr>
      <w:rPr>
        <w:noProof/>
        <w:sz w:val="20"/>
        <w:szCs w:val="20"/>
      </w:rPr>
    </w:sdtEndPr>
    <w:sdtContent>
      <w:p w14:paraId="7875706D" w14:textId="77777777" w:rsidR="002C3FB9" w:rsidRPr="00E26768" w:rsidRDefault="00487356">
        <w:pPr>
          <w:pStyle w:val="Footer"/>
          <w:jc w:val="center"/>
          <w:rPr>
            <w:sz w:val="20"/>
            <w:szCs w:val="20"/>
          </w:rPr>
        </w:pPr>
        <w:r w:rsidRPr="00E26768">
          <w:rPr>
            <w:sz w:val="20"/>
            <w:szCs w:val="20"/>
          </w:rPr>
          <w:fldChar w:fldCharType="begin"/>
        </w:r>
        <w:r w:rsidR="002C3FB9" w:rsidRPr="00E26768">
          <w:rPr>
            <w:sz w:val="20"/>
            <w:szCs w:val="20"/>
          </w:rPr>
          <w:instrText xml:space="preserve"> PAGE   \* MERGEFORMAT </w:instrText>
        </w:r>
        <w:r w:rsidRPr="00E26768">
          <w:rPr>
            <w:sz w:val="20"/>
            <w:szCs w:val="20"/>
          </w:rPr>
          <w:fldChar w:fldCharType="separate"/>
        </w:r>
        <w:r w:rsidR="006267E4">
          <w:rPr>
            <w:noProof/>
            <w:sz w:val="20"/>
            <w:szCs w:val="20"/>
          </w:rPr>
          <w:t>16</w:t>
        </w:r>
        <w:r w:rsidRPr="00E26768">
          <w:rPr>
            <w:noProof/>
            <w:sz w:val="20"/>
            <w:szCs w:val="20"/>
          </w:rPr>
          <w:fldChar w:fldCharType="end"/>
        </w:r>
      </w:p>
    </w:sdtContent>
  </w:sdt>
  <w:p w14:paraId="4C670786" w14:textId="77777777" w:rsidR="002C3FB9" w:rsidRPr="00E26768" w:rsidRDefault="002C3FB9" w:rsidP="00E26768">
    <w:pPr>
      <w:pStyle w:val="Footer"/>
      <w:jc w:val="center"/>
      <w:rPr>
        <w:sz w:val="20"/>
        <w:szCs w:val="20"/>
      </w:rPr>
    </w:pPr>
  </w:p>
  <w:p w14:paraId="27987852" w14:textId="77777777" w:rsidR="002C3FB9" w:rsidRDefault="002C3F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175752"/>
      <w:docPartObj>
        <w:docPartGallery w:val="Page Numbers (Bottom of Page)"/>
        <w:docPartUnique/>
      </w:docPartObj>
    </w:sdtPr>
    <w:sdtEndPr>
      <w:rPr>
        <w:noProof/>
        <w:sz w:val="20"/>
        <w:szCs w:val="20"/>
      </w:rPr>
    </w:sdtEndPr>
    <w:sdtContent>
      <w:p w14:paraId="5D17890C" w14:textId="77777777" w:rsidR="002C3FB9" w:rsidRPr="00E74F1E" w:rsidRDefault="00487356">
        <w:pPr>
          <w:pStyle w:val="Footer"/>
          <w:jc w:val="center"/>
          <w:rPr>
            <w:sz w:val="20"/>
            <w:szCs w:val="20"/>
          </w:rPr>
        </w:pPr>
        <w:r w:rsidRPr="00E74F1E">
          <w:rPr>
            <w:sz w:val="20"/>
            <w:szCs w:val="20"/>
          </w:rPr>
          <w:fldChar w:fldCharType="begin"/>
        </w:r>
        <w:r w:rsidR="002C3FB9" w:rsidRPr="00E74F1E">
          <w:rPr>
            <w:sz w:val="20"/>
            <w:szCs w:val="20"/>
          </w:rPr>
          <w:instrText xml:space="preserve"> PAGE   \* MERGEFORMAT </w:instrText>
        </w:r>
        <w:r w:rsidRPr="00E74F1E">
          <w:rPr>
            <w:sz w:val="20"/>
            <w:szCs w:val="20"/>
          </w:rPr>
          <w:fldChar w:fldCharType="separate"/>
        </w:r>
        <w:r w:rsidR="006267E4">
          <w:rPr>
            <w:noProof/>
            <w:sz w:val="20"/>
            <w:szCs w:val="20"/>
          </w:rPr>
          <w:t>15</w:t>
        </w:r>
        <w:r w:rsidRPr="00E74F1E">
          <w:rPr>
            <w:noProof/>
            <w:sz w:val="20"/>
            <w:szCs w:val="20"/>
          </w:rPr>
          <w:fldChar w:fldCharType="end"/>
        </w:r>
      </w:p>
    </w:sdtContent>
  </w:sdt>
  <w:p w14:paraId="6AF17FF4" w14:textId="77777777" w:rsidR="002C3FB9" w:rsidRDefault="002C3FB9" w:rsidP="00E74F1E">
    <w:pPr>
      <w:pStyle w:val="Footer"/>
      <w:jc w:val="center"/>
    </w:pPr>
  </w:p>
  <w:p w14:paraId="4DC69160" w14:textId="77777777" w:rsidR="002C3FB9" w:rsidRDefault="002C3F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6408" w14:textId="77777777" w:rsidR="002C3FB9" w:rsidRPr="00DF52ED" w:rsidRDefault="002C3FB9">
    <w:pPr>
      <w:pStyle w:val="Footer"/>
      <w:jc w:val="center"/>
      <w:rPr>
        <w:sz w:val="20"/>
        <w:szCs w:val="20"/>
      </w:rPr>
    </w:pPr>
  </w:p>
  <w:p w14:paraId="5DB04DF0" w14:textId="77777777" w:rsidR="002C3FB9" w:rsidRDefault="002C3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6F67" w14:textId="77777777" w:rsidR="00320C78" w:rsidRDefault="00320C78">
      <w:r>
        <w:separator/>
      </w:r>
    </w:p>
  </w:footnote>
  <w:footnote w:type="continuationSeparator" w:id="0">
    <w:p w14:paraId="7490F3F0" w14:textId="77777777" w:rsidR="00320C78" w:rsidRDefault="00320C78">
      <w:r>
        <w:continuationSeparator/>
      </w:r>
    </w:p>
  </w:footnote>
  <w:footnote w:id="1">
    <w:p w14:paraId="3B194B8D" w14:textId="4C51BB8A" w:rsidR="00CE04DC" w:rsidRPr="00CE04DC" w:rsidRDefault="00CE04DC">
      <w:pPr>
        <w:pStyle w:val="FootnoteText"/>
        <w:rPr>
          <w:sz w:val="18"/>
          <w:szCs w:val="18"/>
        </w:rPr>
      </w:pPr>
      <w:r w:rsidRPr="00CE04DC">
        <w:rPr>
          <w:rStyle w:val="FootnoteReference"/>
          <w:sz w:val="18"/>
          <w:szCs w:val="18"/>
        </w:rPr>
        <w:footnoteRef/>
      </w:r>
      <w:r w:rsidRPr="00CE04DC">
        <w:rPr>
          <w:sz w:val="18"/>
          <w:szCs w:val="18"/>
        </w:rPr>
        <w:t>Corresponding author: sabina.stat@juniv.edu</w:t>
      </w:r>
    </w:p>
    <w:p w14:paraId="37630E9D" w14:textId="37F214AF" w:rsidR="00CE04DC" w:rsidRPr="00CE04DC" w:rsidRDefault="00CE04DC">
      <w:pPr>
        <w:pStyle w:val="FootnoteText"/>
        <w:rPr>
          <w:lang w:val="en-SG"/>
        </w:rPr>
      </w:pPr>
      <w:r w:rsidRPr="00CE04DC">
        <w:rPr>
          <w:sz w:val="18"/>
          <w:szCs w:val="18"/>
          <w:lang w:val="en-SG"/>
        </w:rPr>
        <w:t>© Department of Statistics and Data Science, Jahangirnagar University, Savar, Dhaka-1342, Bangladesh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E106" w14:textId="0E0C22E8" w:rsidR="002C3FB9" w:rsidRDefault="002C3FB9">
    <w:pPr>
      <w:pStyle w:val="Header"/>
      <w:framePr w:wrap="around" w:vAnchor="text" w:hAnchor="page" w:x="1585" w:y="1"/>
      <w:rPr>
        <w:rStyle w:val="PageNumber"/>
        <w:sz w:val="20"/>
      </w:rPr>
    </w:pPr>
    <w:r>
      <w:rPr>
        <w:rStyle w:val="PageNumber"/>
        <w:sz w:val="20"/>
      </w:rPr>
      <w:t xml:space="preserve">JUJSS                                                                                                  </w:t>
    </w:r>
    <w:r w:rsidR="00EE4D96">
      <w:rPr>
        <w:i/>
        <w:iCs/>
        <w:sz w:val="18"/>
      </w:rPr>
      <w:t xml:space="preserve">Yasmin, Alam, Yasmin </w:t>
    </w:r>
    <w:r>
      <w:rPr>
        <w:i/>
        <w:iCs/>
        <w:sz w:val="18"/>
      </w:rPr>
      <w:t xml:space="preserve">and </w:t>
    </w:r>
    <w:r w:rsidR="00EE4D96">
      <w:rPr>
        <w:i/>
        <w:iCs/>
        <w:sz w:val="18"/>
      </w:rPr>
      <w:t>Huq</w:t>
    </w:r>
  </w:p>
  <w:p w14:paraId="7E46584D" w14:textId="77777777" w:rsidR="002C3FB9" w:rsidRPr="00304929" w:rsidRDefault="002C3FB9" w:rsidP="00304929">
    <w:pPr>
      <w:pStyle w:val="Header"/>
      <w:jc w:val="right"/>
      <w:rPr>
        <w:i/>
        <w:iCs/>
        <w:sz w:val="18"/>
      </w:rPr>
    </w:pPr>
  </w:p>
  <w:p w14:paraId="6BB679DB" w14:textId="77777777" w:rsidR="002C3FB9" w:rsidRDefault="002C3FB9" w:rsidP="00651969">
    <w:pPr>
      <w:tabs>
        <w:tab w:val="left" w:pos="1172"/>
      </w:tabs>
    </w:pPr>
  </w:p>
  <w:p w14:paraId="526DB860" w14:textId="77777777" w:rsidR="002C3FB9" w:rsidRDefault="002C3F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07D7" w14:textId="4934BF01" w:rsidR="002C3FB9" w:rsidRDefault="004151DD" w:rsidP="00262B2F">
    <w:pPr>
      <w:pStyle w:val="Header"/>
      <w:jc w:val="center"/>
      <w:rPr>
        <w:i/>
        <w:sz w:val="18"/>
        <w:szCs w:val="18"/>
      </w:rPr>
    </w:pPr>
    <w:r w:rsidRPr="004151DD">
      <w:rPr>
        <w:i/>
        <w:sz w:val="18"/>
        <w:szCs w:val="18"/>
      </w:rPr>
      <w:t>Analyzing Regional and Urban-Rural</w:t>
    </w:r>
    <w:r w:rsidR="002C3FB9">
      <w:rPr>
        <w:i/>
        <w:sz w:val="18"/>
        <w:szCs w:val="18"/>
      </w:rPr>
      <w:t xml:space="preserve"> …</w:t>
    </w:r>
  </w:p>
  <w:p w14:paraId="215DB85F" w14:textId="77777777" w:rsidR="002C3FB9" w:rsidRPr="001A46E1" w:rsidRDefault="002C3FB9" w:rsidP="00262B2F">
    <w:pPr>
      <w:pStyle w:val="Header"/>
      <w:jc w:val="center"/>
      <w:rPr>
        <w:i/>
        <w:sz w:val="18"/>
        <w:szCs w:val="18"/>
      </w:rPr>
    </w:pPr>
  </w:p>
  <w:p w14:paraId="2376D254" w14:textId="77777777" w:rsidR="002C3FB9" w:rsidRDefault="002C3F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26"/>
      <w:gridCol w:w="5926"/>
      <w:gridCol w:w="997"/>
    </w:tblGrid>
    <w:tr w:rsidR="002C3FB9" w14:paraId="31FAE131" w14:textId="77777777" w:rsidTr="006A5818">
      <w:tc>
        <w:tcPr>
          <w:tcW w:w="1008" w:type="dxa"/>
        </w:tcPr>
        <w:p w14:paraId="5942D3A2" w14:textId="77777777" w:rsidR="002C3FB9" w:rsidRDefault="002C3FB9" w:rsidP="006A5818">
          <w:pPr>
            <w:pStyle w:val="Header"/>
            <w:jc w:val="center"/>
            <w:rPr>
              <w:sz w:val="18"/>
            </w:rPr>
          </w:pPr>
          <w:r>
            <w:rPr>
              <w:noProof/>
              <w:sz w:val="18"/>
            </w:rPr>
            <w:drawing>
              <wp:anchor distT="0" distB="0" distL="114300" distR="114300" simplePos="0" relativeHeight="251661312" behindDoc="0" locked="0" layoutInCell="1" allowOverlap="1" wp14:anchorId="6BCEB46F" wp14:editId="73ECFA03">
                <wp:simplePos x="0" y="0"/>
                <wp:positionH relativeFrom="column">
                  <wp:posOffset>-48895</wp:posOffset>
                </wp:positionH>
                <wp:positionV relativeFrom="paragraph">
                  <wp:posOffset>3175</wp:posOffset>
                </wp:positionV>
                <wp:extent cx="492760" cy="647065"/>
                <wp:effectExtent l="19050" t="0" r="2540" b="0"/>
                <wp:wrapSquare wrapText="left"/>
                <wp:docPr id="781644922" name="Picture 781644922" desc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
                        <pic:cNvPicPr>
                          <a:picLocks noChangeAspect="1" noChangeArrowheads="1"/>
                        </pic:cNvPicPr>
                      </pic:nvPicPr>
                      <pic:blipFill>
                        <a:blip r:embed="rId1"/>
                        <a:srcRect/>
                        <a:stretch>
                          <a:fillRect/>
                        </a:stretch>
                      </pic:blipFill>
                      <pic:spPr bwMode="auto">
                        <a:xfrm>
                          <a:off x="0" y="0"/>
                          <a:ext cx="492760" cy="647065"/>
                        </a:xfrm>
                        <a:prstGeom prst="rect">
                          <a:avLst/>
                        </a:prstGeom>
                        <a:noFill/>
                      </pic:spPr>
                    </pic:pic>
                  </a:graphicData>
                </a:graphic>
              </wp:anchor>
            </w:drawing>
          </w:r>
        </w:p>
      </w:tc>
      <w:tc>
        <w:tcPr>
          <w:tcW w:w="5940" w:type="dxa"/>
        </w:tcPr>
        <w:p w14:paraId="73BDCB6F" w14:textId="77777777" w:rsidR="002C3FB9" w:rsidRPr="00EA1994" w:rsidRDefault="002C3FB9" w:rsidP="006A5818">
          <w:pPr>
            <w:pStyle w:val="Header"/>
            <w:jc w:val="center"/>
          </w:pPr>
          <w:r w:rsidRPr="00EA1994">
            <w:t>Jahangirnagar University Journal of Statistical Studies</w:t>
          </w:r>
        </w:p>
        <w:p w14:paraId="53325C81" w14:textId="77777777" w:rsidR="002C3FB9" w:rsidRPr="00EA1994" w:rsidRDefault="002C3FB9" w:rsidP="006A5818">
          <w:pPr>
            <w:pStyle w:val="Header"/>
            <w:jc w:val="center"/>
            <w:rPr>
              <w:i/>
              <w:sz w:val="20"/>
            </w:rPr>
          </w:pPr>
          <w:r w:rsidRPr="00EA1994">
            <w:rPr>
              <w:i/>
              <w:sz w:val="20"/>
            </w:rPr>
            <w:t>ISSN 1022-4734</w:t>
          </w:r>
        </w:p>
        <w:p w14:paraId="4E13B261" w14:textId="77777777" w:rsidR="002C3FB9" w:rsidRDefault="002C3FB9" w:rsidP="006A5818">
          <w:pPr>
            <w:pStyle w:val="Header"/>
            <w:jc w:val="center"/>
            <w:rPr>
              <w:sz w:val="18"/>
            </w:rPr>
          </w:pPr>
        </w:p>
        <w:p w14:paraId="64AF1432" w14:textId="77777777" w:rsidR="002C3FB9" w:rsidRDefault="002C3FB9" w:rsidP="006A5818">
          <w:pPr>
            <w:pStyle w:val="Header"/>
            <w:jc w:val="center"/>
            <w:rPr>
              <w:sz w:val="18"/>
            </w:rPr>
          </w:pPr>
          <w:r w:rsidRPr="00EA1994">
            <w:rPr>
              <w:sz w:val="18"/>
            </w:rPr>
            <w:t>http://www.juniv.edu/department/stat</w:t>
          </w:r>
        </w:p>
      </w:tc>
      <w:tc>
        <w:tcPr>
          <w:tcW w:w="1001" w:type="dxa"/>
        </w:tcPr>
        <w:p w14:paraId="2BA69DA7" w14:textId="77777777" w:rsidR="002C3FB9" w:rsidRDefault="002C3FB9">
          <w:pPr>
            <w:pStyle w:val="Header"/>
            <w:jc w:val="right"/>
            <w:rPr>
              <w:sz w:val="18"/>
            </w:rPr>
          </w:pPr>
        </w:p>
      </w:tc>
    </w:tr>
  </w:tbl>
  <w:p w14:paraId="009DE042" w14:textId="28EA9383" w:rsidR="002C3FB9" w:rsidRDefault="002C3FB9">
    <w:pPr>
      <w:pStyle w:val="Header"/>
      <w:rPr>
        <w:sz w:val="20"/>
      </w:rPr>
    </w:pPr>
    <w:r>
      <w:rPr>
        <w:sz w:val="20"/>
      </w:rPr>
      <w:t>JUJSS, Vol. 3</w:t>
    </w:r>
    <w:r w:rsidR="00E31529">
      <w:rPr>
        <w:sz w:val="20"/>
      </w:rPr>
      <w:t>8</w:t>
    </w:r>
    <w:r>
      <w:rPr>
        <w:sz w:val="20"/>
      </w:rPr>
      <w:t>, 202</w:t>
    </w:r>
    <w:r w:rsidR="009A3255">
      <w:rPr>
        <w:sz w:val="20"/>
      </w:rPr>
      <w:t>6</w:t>
    </w:r>
    <w:r>
      <w:rPr>
        <w:sz w:val="20"/>
      </w:rPr>
      <w:t>, pp.</w:t>
    </w:r>
    <w:r w:rsidR="003C2BD4">
      <w:rPr>
        <w:sz w:val="20"/>
      </w:rPr>
      <w:t>57</w:t>
    </w:r>
    <w:r w:rsidR="00C9558A">
      <w:rPr>
        <w:sz w:val="20"/>
      </w:rPr>
      <w:t>-</w:t>
    </w:r>
    <w:r w:rsidR="003C2BD4">
      <w:rPr>
        <w:sz w:val="20"/>
      </w:rPr>
      <w:t>76</w:t>
    </w:r>
    <w:r>
      <w:rPr>
        <w:sz w:val="20"/>
      </w:rPr>
      <w:t xml:space="preserve"> </w:t>
    </w:r>
  </w:p>
  <w:p w14:paraId="769094A1" w14:textId="77777777" w:rsidR="002C3FB9" w:rsidRDefault="002C3FB9" w:rsidP="00953C15">
    <w:pPr>
      <w:pStyle w:val="Header"/>
      <w:tabs>
        <w:tab w:val="clear" w:pos="4320"/>
        <w:tab w:val="clear" w:pos="8640"/>
        <w:tab w:val="left" w:pos="1359"/>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69D"/>
    <w:multiLevelType w:val="hybridMultilevel"/>
    <w:tmpl w:val="71D20324"/>
    <w:lvl w:ilvl="0" w:tplc="86EA4B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66DA9"/>
    <w:multiLevelType w:val="multilevel"/>
    <w:tmpl w:val="82EE81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C35E7D"/>
    <w:multiLevelType w:val="hybridMultilevel"/>
    <w:tmpl w:val="3C6E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F4EF9"/>
    <w:multiLevelType w:val="hybridMultilevel"/>
    <w:tmpl w:val="63869A98"/>
    <w:lvl w:ilvl="0" w:tplc="2774D524">
      <w:numFmt w:val="bullet"/>
      <w:lvlText w:val="•"/>
      <w:lvlJc w:val="left"/>
      <w:pPr>
        <w:ind w:left="1470" w:hanging="360"/>
      </w:pPr>
      <w:rPr>
        <w:rFonts w:ascii="Times New Roman" w:eastAsiaTheme="minorEastAsia" w:hAnsi="Times New Roman" w:cs="Times New Roman"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4" w15:restartNumberingAfterBreak="0">
    <w:nsid w:val="21AB5301"/>
    <w:multiLevelType w:val="hybridMultilevel"/>
    <w:tmpl w:val="2A008AE6"/>
    <w:lvl w:ilvl="0" w:tplc="429CB170">
      <w:start w:val="1"/>
      <w:numFmt w:val="lowerRoman"/>
      <w:lvlText w:val="%1."/>
      <w:lvlJc w:val="right"/>
      <w:pPr>
        <w:ind w:left="2985" w:hanging="360"/>
      </w:pPr>
      <w:rPr>
        <w:rFonts w:hint="default"/>
        <w:b/>
        <w:i w:val="0"/>
      </w:r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5" w15:restartNumberingAfterBreak="0">
    <w:nsid w:val="2DED193C"/>
    <w:multiLevelType w:val="hybridMultilevel"/>
    <w:tmpl w:val="C4C42D00"/>
    <w:lvl w:ilvl="0" w:tplc="C908E004">
      <w:start w:val="1"/>
      <w:numFmt w:val="lowerRoman"/>
      <w:lvlText w:val="(%1)."/>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1B6C0E"/>
    <w:multiLevelType w:val="multilevel"/>
    <w:tmpl w:val="F81A90B8"/>
    <w:lvl w:ilvl="0">
      <w:start w:val="1"/>
      <w:numFmt w:val="none"/>
      <w:lvlText w:val="5."/>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3D1C66"/>
    <w:multiLevelType w:val="hybridMultilevel"/>
    <w:tmpl w:val="74045128"/>
    <w:lvl w:ilvl="0" w:tplc="FB3CD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330447"/>
    <w:multiLevelType w:val="multilevel"/>
    <w:tmpl w:val="9688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F37BBB"/>
    <w:multiLevelType w:val="hybridMultilevel"/>
    <w:tmpl w:val="B7583434"/>
    <w:lvl w:ilvl="0" w:tplc="66BE0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A3D09"/>
    <w:multiLevelType w:val="hybridMultilevel"/>
    <w:tmpl w:val="D6564FC2"/>
    <w:lvl w:ilvl="0" w:tplc="FB348716">
      <w:start w:val="1"/>
      <w:numFmt w:val="decimal"/>
      <w:lvlText w:val="%1."/>
      <w:lvlJc w:val="left"/>
      <w:pPr>
        <w:ind w:left="1485" w:hanging="375"/>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1" w15:restartNumberingAfterBreak="0">
    <w:nsid w:val="40C17A4B"/>
    <w:multiLevelType w:val="multilevel"/>
    <w:tmpl w:val="D1E86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0D1D9A"/>
    <w:multiLevelType w:val="hybridMultilevel"/>
    <w:tmpl w:val="CA98C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8C194B"/>
    <w:multiLevelType w:val="multilevel"/>
    <w:tmpl w:val="28E2AC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193CB6"/>
    <w:multiLevelType w:val="hybridMultilevel"/>
    <w:tmpl w:val="B13AA0F0"/>
    <w:lvl w:ilvl="0" w:tplc="429CB170">
      <w:start w:val="1"/>
      <w:numFmt w:val="lowerRoman"/>
      <w:lvlText w:val="%1."/>
      <w:lvlJc w:val="right"/>
      <w:pPr>
        <w:ind w:left="183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AC33DC"/>
    <w:multiLevelType w:val="multilevel"/>
    <w:tmpl w:val="51DA96E4"/>
    <w:lvl w:ilvl="0">
      <w:start w:val="1"/>
      <w:numFmt w:val="decimal"/>
      <w:lvlText w:val="%1."/>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5137958"/>
    <w:multiLevelType w:val="multilevel"/>
    <w:tmpl w:val="5E76702A"/>
    <w:lvl w:ilvl="0">
      <w:start w:val="1"/>
      <w:numFmt w:val="none"/>
      <w:lvlText w:val="2.2"/>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5C958B4"/>
    <w:multiLevelType w:val="hybridMultilevel"/>
    <w:tmpl w:val="640EF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2A4435"/>
    <w:multiLevelType w:val="multilevel"/>
    <w:tmpl w:val="D8001A6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E790E94"/>
    <w:multiLevelType w:val="hybridMultilevel"/>
    <w:tmpl w:val="179AE088"/>
    <w:lvl w:ilvl="0" w:tplc="121ACBC6">
      <w:start w:val="1"/>
      <w:numFmt w:val="lowerRoman"/>
      <w:lvlText w:val="(%1)"/>
      <w:lvlJc w:val="left"/>
      <w:pPr>
        <w:ind w:left="1080" w:hanging="72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9568C6"/>
    <w:multiLevelType w:val="multilevel"/>
    <w:tmpl w:val="88C8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F868F9"/>
    <w:multiLevelType w:val="multilevel"/>
    <w:tmpl w:val="9D7C0D42"/>
    <w:lvl w:ilvl="0">
      <w:start w:val="1"/>
      <w:numFmt w:val="none"/>
      <w:lvlText w:val="2.3"/>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3C46899"/>
    <w:multiLevelType w:val="multilevel"/>
    <w:tmpl w:val="0C4AE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D16121"/>
    <w:multiLevelType w:val="multilevel"/>
    <w:tmpl w:val="7A885268"/>
    <w:lvl w:ilvl="0">
      <w:start w:val="1"/>
      <w:numFmt w:val="none"/>
      <w:lvlText w:val="2."/>
      <w:lvlJc w:val="left"/>
      <w:pPr>
        <w:ind w:left="288" w:hanging="28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D865040"/>
    <w:multiLevelType w:val="multilevel"/>
    <w:tmpl w:val="ADAE8698"/>
    <w:lvl w:ilvl="0">
      <w:start w:val="1"/>
      <w:numFmt w:val="none"/>
      <w:lvlText w:val="2.1"/>
      <w:lvlJc w:val="left"/>
      <w:pPr>
        <w:ind w:left="418" w:hanging="418"/>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3187734">
    <w:abstractNumId w:val="15"/>
  </w:num>
  <w:num w:numId="2" w16cid:durableId="1837645579">
    <w:abstractNumId w:val="23"/>
  </w:num>
  <w:num w:numId="3" w16cid:durableId="136798379">
    <w:abstractNumId w:val="24"/>
  </w:num>
  <w:num w:numId="4" w16cid:durableId="314998004">
    <w:abstractNumId w:val="16"/>
  </w:num>
  <w:num w:numId="5" w16cid:durableId="765539437">
    <w:abstractNumId w:val="21"/>
  </w:num>
  <w:num w:numId="6" w16cid:durableId="1451975825">
    <w:abstractNumId w:val="6"/>
  </w:num>
  <w:num w:numId="7" w16cid:durableId="2044472709">
    <w:abstractNumId w:val="1"/>
  </w:num>
  <w:num w:numId="8" w16cid:durableId="512378089">
    <w:abstractNumId w:val="0"/>
  </w:num>
  <w:num w:numId="9" w16cid:durableId="2033410545">
    <w:abstractNumId w:val="14"/>
  </w:num>
  <w:num w:numId="10" w16cid:durableId="1555776664">
    <w:abstractNumId w:val="3"/>
  </w:num>
  <w:num w:numId="11" w16cid:durableId="1336765679">
    <w:abstractNumId w:val="10"/>
  </w:num>
  <w:num w:numId="12" w16cid:durableId="1036663152">
    <w:abstractNumId w:val="4"/>
  </w:num>
  <w:num w:numId="13" w16cid:durableId="182518200">
    <w:abstractNumId w:val="19"/>
  </w:num>
  <w:num w:numId="14" w16cid:durableId="1924952208">
    <w:abstractNumId w:val="7"/>
  </w:num>
  <w:num w:numId="15" w16cid:durableId="1692687525">
    <w:abstractNumId w:val="9"/>
  </w:num>
  <w:num w:numId="16" w16cid:durableId="668866611">
    <w:abstractNumId w:val="18"/>
  </w:num>
  <w:num w:numId="17" w16cid:durableId="1436557826">
    <w:abstractNumId w:val="13"/>
  </w:num>
  <w:num w:numId="18" w16cid:durableId="1975913028">
    <w:abstractNumId w:val="11"/>
  </w:num>
  <w:num w:numId="19" w16cid:durableId="1074548519">
    <w:abstractNumId w:val="5"/>
  </w:num>
  <w:num w:numId="20" w16cid:durableId="2050372980">
    <w:abstractNumId w:val="12"/>
  </w:num>
  <w:num w:numId="21" w16cid:durableId="2103446722">
    <w:abstractNumId w:val="8"/>
  </w:num>
  <w:num w:numId="22" w16cid:durableId="964118845">
    <w:abstractNumId w:val="2"/>
  </w:num>
  <w:num w:numId="23" w16cid:durableId="1659071684">
    <w:abstractNumId w:val="22"/>
  </w:num>
  <w:num w:numId="24" w16cid:durableId="287056371">
    <w:abstractNumId w:val="20"/>
  </w:num>
  <w:num w:numId="25" w16cid:durableId="36741486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numFmt w:val="chicago"/>
    <w:numRestart w:val="eachSect"/>
    <w:footnote w:id="-1"/>
    <w:footnote w:id="0"/>
  </w:footnotePr>
  <w:endnotePr>
    <w:pos w:val="sectEnd"/>
    <w:numRestart w:val="eachSect"/>
    <w:endnote w:id="-1"/>
    <w:endnote w:id="0"/>
  </w:endnotePr>
  <w:compat>
    <w:compatSetting w:name="compatibilityMode" w:uri="http://schemas.microsoft.com/office/word" w:val="12"/>
    <w:compatSetting w:name="useWord2013TrackBottomHyphenation" w:uri="http://schemas.microsoft.com/office/word" w:val="1"/>
  </w:compat>
  <w:rsids>
    <w:rsidRoot w:val="00464CA2"/>
    <w:rsid w:val="00002058"/>
    <w:rsid w:val="00006A96"/>
    <w:rsid w:val="00006C91"/>
    <w:rsid w:val="00011C88"/>
    <w:rsid w:val="0001535C"/>
    <w:rsid w:val="00015523"/>
    <w:rsid w:val="00016699"/>
    <w:rsid w:val="00021DBC"/>
    <w:rsid w:val="0002469F"/>
    <w:rsid w:val="000256B9"/>
    <w:rsid w:val="000272AD"/>
    <w:rsid w:val="000278FC"/>
    <w:rsid w:val="0003065D"/>
    <w:rsid w:val="0004086E"/>
    <w:rsid w:val="000441B6"/>
    <w:rsid w:val="00044902"/>
    <w:rsid w:val="00045F48"/>
    <w:rsid w:val="000467D9"/>
    <w:rsid w:val="00047198"/>
    <w:rsid w:val="0005051E"/>
    <w:rsid w:val="00082C0E"/>
    <w:rsid w:val="0008473D"/>
    <w:rsid w:val="00092C0D"/>
    <w:rsid w:val="000A119A"/>
    <w:rsid w:val="000A520E"/>
    <w:rsid w:val="000A6B33"/>
    <w:rsid w:val="000B3DDC"/>
    <w:rsid w:val="000C5DDB"/>
    <w:rsid w:val="000D035F"/>
    <w:rsid w:val="000D115D"/>
    <w:rsid w:val="000E4D95"/>
    <w:rsid w:val="000E7B24"/>
    <w:rsid w:val="000F1160"/>
    <w:rsid w:val="000F1A45"/>
    <w:rsid w:val="00100A29"/>
    <w:rsid w:val="00101B56"/>
    <w:rsid w:val="0010698A"/>
    <w:rsid w:val="001070F4"/>
    <w:rsid w:val="00107236"/>
    <w:rsid w:val="00110325"/>
    <w:rsid w:val="00111F70"/>
    <w:rsid w:val="00112FEF"/>
    <w:rsid w:val="0012069D"/>
    <w:rsid w:val="00122EE1"/>
    <w:rsid w:val="00127506"/>
    <w:rsid w:val="00142B3B"/>
    <w:rsid w:val="00143DD7"/>
    <w:rsid w:val="00145503"/>
    <w:rsid w:val="0014552E"/>
    <w:rsid w:val="001479A1"/>
    <w:rsid w:val="0015577C"/>
    <w:rsid w:val="00160AF0"/>
    <w:rsid w:val="00161884"/>
    <w:rsid w:val="001715E8"/>
    <w:rsid w:val="001718AB"/>
    <w:rsid w:val="0018381C"/>
    <w:rsid w:val="00195A98"/>
    <w:rsid w:val="001A0A16"/>
    <w:rsid w:val="001A179A"/>
    <w:rsid w:val="001A46E1"/>
    <w:rsid w:val="001B7476"/>
    <w:rsid w:val="001C036E"/>
    <w:rsid w:val="001C4758"/>
    <w:rsid w:val="001C480D"/>
    <w:rsid w:val="001E0585"/>
    <w:rsid w:val="001F11D6"/>
    <w:rsid w:val="001F191E"/>
    <w:rsid w:val="001F1DF5"/>
    <w:rsid w:val="001F6221"/>
    <w:rsid w:val="001F63DE"/>
    <w:rsid w:val="00200165"/>
    <w:rsid w:val="00202485"/>
    <w:rsid w:val="00202ECE"/>
    <w:rsid w:val="00211600"/>
    <w:rsid w:val="00217F85"/>
    <w:rsid w:val="00220137"/>
    <w:rsid w:val="002223A0"/>
    <w:rsid w:val="00223B62"/>
    <w:rsid w:val="00226D07"/>
    <w:rsid w:val="002279DD"/>
    <w:rsid w:val="00242DC7"/>
    <w:rsid w:val="00243E7B"/>
    <w:rsid w:val="00262B2F"/>
    <w:rsid w:val="00272858"/>
    <w:rsid w:val="0027620E"/>
    <w:rsid w:val="00280830"/>
    <w:rsid w:val="00291C2D"/>
    <w:rsid w:val="002939E7"/>
    <w:rsid w:val="002A0A11"/>
    <w:rsid w:val="002A1494"/>
    <w:rsid w:val="002A4214"/>
    <w:rsid w:val="002A6D5B"/>
    <w:rsid w:val="002B4F85"/>
    <w:rsid w:val="002C0E3D"/>
    <w:rsid w:val="002C2CCE"/>
    <w:rsid w:val="002C3FB9"/>
    <w:rsid w:val="002C52B0"/>
    <w:rsid w:val="002C5F6F"/>
    <w:rsid w:val="002E0535"/>
    <w:rsid w:val="002E3B8E"/>
    <w:rsid w:val="002E7F71"/>
    <w:rsid w:val="002F1A7C"/>
    <w:rsid w:val="002F3D9C"/>
    <w:rsid w:val="002F7C7A"/>
    <w:rsid w:val="00300C04"/>
    <w:rsid w:val="00304929"/>
    <w:rsid w:val="00307066"/>
    <w:rsid w:val="0031516B"/>
    <w:rsid w:val="00317889"/>
    <w:rsid w:val="00320C78"/>
    <w:rsid w:val="003355E9"/>
    <w:rsid w:val="003465CE"/>
    <w:rsid w:val="003505F0"/>
    <w:rsid w:val="003509A4"/>
    <w:rsid w:val="00352B5A"/>
    <w:rsid w:val="00355E93"/>
    <w:rsid w:val="0035646F"/>
    <w:rsid w:val="003626F8"/>
    <w:rsid w:val="003757FB"/>
    <w:rsid w:val="00375EDC"/>
    <w:rsid w:val="003800C1"/>
    <w:rsid w:val="0038074B"/>
    <w:rsid w:val="00381392"/>
    <w:rsid w:val="00381E17"/>
    <w:rsid w:val="00385844"/>
    <w:rsid w:val="003938FD"/>
    <w:rsid w:val="003B096F"/>
    <w:rsid w:val="003B09EE"/>
    <w:rsid w:val="003B31B8"/>
    <w:rsid w:val="003B38F4"/>
    <w:rsid w:val="003B76D5"/>
    <w:rsid w:val="003C0B15"/>
    <w:rsid w:val="003C1149"/>
    <w:rsid w:val="003C165C"/>
    <w:rsid w:val="003C2BD4"/>
    <w:rsid w:val="003C3B37"/>
    <w:rsid w:val="003E4B9A"/>
    <w:rsid w:val="003F223F"/>
    <w:rsid w:val="003F467C"/>
    <w:rsid w:val="003F69CB"/>
    <w:rsid w:val="00404911"/>
    <w:rsid w:val="00411ACC"/>
    <w:rsid w:val="004151DD"/>
    <w:rsid w:val="004247F6"/>
    <w:rsid w:val="0042790A"/>
    <w:rsid w:val="0043088D"/>
    <w:rsid w:val="004315E0"/>
    <w:rsid w:val="004403F4"/>
    <w:rsid w:val="00441BE2"/>
    <w:rsid w:val="00442AF4"/>
    <w:rsid w:val="00443979"/>
    <w:rsid w:val="00444C95"/>
    <w:rsid w:val="0044549E"/>
    <w:rsid w:val="004500F1"/>
    <w:rsid w:val="004558A8"/>
    <w:rsid w:val="00463AFA"/>
    <w:rsid w:val="00464CA2"/>
    <w:rsid w:val="004659E0"/>
    <w:rsid w:val="00467257"/>
    <w:rsid w:val="004713EA"/>
    <w:rsid w:val="0047358B"/>
    <w:rsid w:val="0048150E"/>
    <w:rsid w:val="0048280B"/>
    <w:rsid w:val="0048522C"/>
    <w:rsid w:val="00487356"/>
    <w:rsid w:val="004873B2"/>
    <w:rsid w:val="004931EC"/>
    <w:rsid w:val="004958ED"/>
    <w:rsid w:val="004A3776"/>
    <w:rsid w:val="004C290D"/>
    <w:rsid w:val="004C3210"/>
    <w:rsid w:val="004D3456"/>
    <w:rsid w:val="004D6A0C"/>
    <w:rsid w:val="004E0154"/>
    <w:rsid w:val="004E4EF6"/>
    <w:rsid w:val="004E6692"/>
    <w:rsid w:val="004F442E"/>
    <w:rsid w:val="00501FFB"/>
    <w:rsid w:val="005164B9"/>
    <w:rsid w:val="005176B5"/>
    <w:rsid w:val="00536419"/>
    <w:rsid w:val="00536DB7"/>
    <w:rsid w:val="00542C52"/>
    <w:rsid w:val="00551B86"/>
    <w:rsid w:val="00552FBB"/>
    <w:rsid w:val="00561A43"/>
    <w:rsid w:val="00564413"/>
    <w:rsid w:val="00575A8A"/>
    <w:rsid w:val="00580058"/>
    <w:rsid w:val="00580505"/>
    <w:rsid w:val="00580F6F"/>
    <w:rsid w:val="005821DF"/>
    <w:rsid w:val="0058434B"/>
    <w:rsid w:val="005845CB"/>
    <w:rsid w:val="00590926"/>
    <w:rsid w:val="005A0695"/>
    <w:rsid w:val="005A21E8"/>
    <w:rsid w:val="005A2F4B"/>
    <w:rsid w:val="005B3380"/>
    <w:rsid w:val="005B5833"/>
    <w:rsid w:val="005C333B"/>
    <w:rsid w:val="005D4DBC"/>
    <w:rsid w:val="005D542E"/>
    <w:rsid w:val="005E450E"/>
    <w:rsid w:val="005F52EA"/>
    <w:rsid w:val="005F5ADF"/>
    <w:rsid w:val="00604001"/>
    <w:rsid w:val="00604BF7"/>
    <w:rsid w:val="006055A2"/>
    <w:rsid w:val="00605C49"/>
    <w:rsid w:val="006077D6"/>
    <w:rsid w:val="00612EEB"/>
    <w:rsid w:val="00614453"/>
    <w:rsid w:val="00615245"/>
    <w:rsid w:val="006233FE"/>
    <w:rsid w:val="006235F0"/>
    <w:rsid w:val="006253C3"/>
    <w:rsid w:val="006267E4"/>
    <w:rsid w:val="0063520D"/>
    <w:rsid w:val="00643B82"/>
    <w:rsid w:val="00645477"/>
    <w:rsid w:val="00650B04"/>
    <w:rsid w:val="00651969"/>
    <w:rsid w:val="0065322D"/>
    <w:rsid w:val="00663370"/>
    <w:rsid w:val="00677765"/>
    <w:rsid w:val="00680172"/>
    <w:rsid w:val="006818EA"/>
    <w:rsid w:val="00683D32"/>
    <w:rsid w:val="006926FF"/>
    <w:rsid w:val="00693473"/>
    <w:rsid w:val="006A0D29"/>
    <w:rsid w:val="006A25D2"/>
    <w:rsid w:val="006A5818"/>
    <w:rsid w:val="006A60BE"/>
    <w:rsid w:val="006B0651"/>
    <w:rsid w:val="006B1BBD"/>
    <w:rsid w:val="006B29B2"/>
    <w:rsid w:val="006B3E02"/>
    <w:rsid w:val="006C06CD"/>
    <w:rsid w:val="006C6418"/>
    <w:rsid w:val="006D2D01"/>
    <w:rsid w:val="006D30C1"/>
    <w:rsid w:val="006D4C3B"/>
    <w:rsid w:val="006D5A12"/>
    <w:rsid w:val="006E2EE5"/>
    <w:rsid w:val="006F7D36"/>
    <w:rsid w:val="007038DB"/>
    <w:rsid w:val="00707AF7"/>
    <w:rsid w:val="00710CD4"/>
    <w:rsid w:val="00721DAB"/>
    <w:rsid w:val="00723E42"/>
    <w:rsid w:val="007252E6"/>
    <w:rsid w:val="00727228"/>
    <w:rsid w:val="007275B6"/>
    <w:rsid w:val="007276D0"/>
    <w:rsid w:val="00732913"/>
    <w:rsid w:val="00736353"/>
    <w:rsid w:val="00736C05"/>
    <w:rsid w:val="00743B83"/>
    <w:rsid w:val="00750F19"/>
    <w:rsid w:val="00753371"/>
    <w:rsid w:val="00760F0A"/>
    <w:rsid w:val="00765D6C"/>
    <w:rsid w:val="00772282"/>
    <w:rsid w:val="00775097"/>
    <w:rsid w:val="007850D2"/>
    <w:rsid w:val="00786E56"/>
    <w:rsid w:val="0079299B"/>
    <w:rsid w:val="0079694A"/>
    <w:rsid w:val="007A0D4A"/>
    <w:rsid w:val="007A4772"/>
    <w:rsid w:val="007C49E5"/>
    <w:rsid w:val="007D003E"/>
    <w:rsid w:val="007E1B87"/>
    <w:rsid w:val="007E7018"/>
    <w:rsid w:val="007F083E"/>
    <w:rsid w:val="007F4F50"/>
    <w:rsid w:val="00800826"/>
    <w:rsid w:val="00801717"/>
    <w:rsid w:val="00804CDD"/>
    <w:rsid w:val="00811802"/>
    <w:rsid w:val="00815BFC"/>
    <w:rsid w:val="008175C1"/>
    <w:rsid w:val="00821E83"/>
    <w:rsid w:val="0082473A"/>
    <w:rsid w:val="00825C1C"/>
    <w:rsid w:val="00835488"/>
    <w:rsid w:val="00836DC4"/>
    <w:rsid w:val="00837432"/>
    <w:rsid w:val="00850834"/>
    <w:rsid w:val="00854B37"/>
    <w:rsid w:val="00855D46"/>
    <w:rsid w:val="00857C02"/>
    <w:rsid w:val="00863F23"/>
    <w:rsid w:val="008717F0"/>
    <w:rsid w:val="00871B6F"/>
    <w:rsid w:val="00874FC0"/>
    <w:rsid w:val="00876CDC"/>
    <w:rsid w:val="00881A32"/>
    <w:rsid w:val="00884700"/>
    <w:rsid w:val="00897C2C"/>
    <w:rsid w:val="008A07B5"/>
    <w:rsid w:val="008A517A"/>
    <w:rsid w:val="008B0849"/>
    <w:rsid w:val="008B5014"/>
    <w:rsid w:val="008B5C9C"/>
    <w:rsid w:val="008C7EAB"/>
    <w:rsid w:val="008E016B"/>
    <w:rsid w:val="008E262E"/>
    <w:rsid w:val="008E3599"/>
    <w:rsid w:val="008E3CF0"/>
    <w:rsid w:val="008E45EA"/>
    <w:rsid w:val="008E571D"/>
    <w:rsid w:val="008F0D7D"/>
    <w:rsid w:val="009016F8"/>
    <w:rsid w:val="0090489C"/>
    <w:rsid w:val="009139E8"/>
    <w:rsid w:val="00920F20"/>
    <w:rsid w:val="00921373"/>
    <w:rsid w:val="00930385"/>
    <w:rsid w:val="009313BA"/>
    <w:rsid w:val="0093751D"/>
    <w:rsid w:val="00937B72"/>
    <w:rsid w:val="0095306E"/>
    <w:rsid w:val="00953C15"/>
    <w:rsid w:val="0096247F"/>
    <w:rsid w:val="009627C7"/>
    <w:rsid w:val="00965C59"/>
    <w:rsid w:val="00983CD8"/>
    <w:rsid w:val="009876E6"/>
    <w:rsid w:val="009943C4"/>
    <w:rsid w:val="009979DB"/>
    <w:rsid w:val="00997E9A"/>
    <w:rsid w:val="009A3255"/>
    <w:rsid w:val="009B0EC7"/>
    <w:rsid w:val="009B6852"/>
    <w:rsid w:val="009C0A52"/>
    <w:rsid w:val="009C1058"/>
    <w:rsid w:val="009E533E"/>
    <w:rsid w:val="009E57D2"/>
    <w:rsid w:val="009E61CB"/>
    <w:rsid w:val="009E6FA9"/>
    <w:rsid w:val="009F0EAE"/>
    <w:rsid w:val="009F23EB"/>
    <w:rsid w:val="009F32FD"/>
    <w:rsid w:val="009F56FF"/>
    <w:rsid w:val="00A04361"/>
    <w:rsid w:val="00A05A46"/>
    <w:rsid w:val="00A06FB8"/>
    <w:rsid w:val="00A15651"/>
    <w:rsid w:val="00A220FE"/>
    <w:rsid w:val="00A23E9E"/>
    <w:rsid w:val="00A271C8"/>
    <w:rsid w:val="00A301D1"/>
    <w:rsid w:val="00A31758"/>
    <w:rsid w:val="00A32631"/>
    <w:rsid w:val="00A344C1"/>
    <w:rsid w:val="00A34C5D"/>
    <w:rsid w:val="00A36818"/>
    <w:rsid w:val="00A36D67"/>
    <w:rsid w:val="00A55078"/>
    <w:rsid w:val="00A5699B"/>
    <w:rsid w:val="00A72466"/>
    <w:rsid w:val="00A744B8"/>
    <w:rsid w:val="00A77DFE"/>
    <w:rsid w:val="00A824AF"/>
    <w:rsid w:val="00A8332B"/>
    <w:rsid w:val="00A85FA3"/>
    <w:rsid w:val="00A94EB0"/>
    <w:rsid w:val="00AA3C1C"/>
    <w:rsid w:val="00AA44CB"/>
    <w:rsid w:val="00AA6F26"/>
    <w:rsid w:val="00AB12A0"/>
    <w:rsid w:val="00AB2DCD"/>
    <w:rsid w:val="00AC143F"/>
    <w:rsid w:val="00AC34BF"/>
    <w:rsid w:val="00AE1EAC"/>
    <w:rsid w:val="00B04E85"/>
    <w:rsid w:val="00B052D9"/>
    <w:rsid w:val="00B122DC"/>
    <w:rsid w:val="00B2290E"/>
    <w:rsid w:val="00B24FCA"/>
    <w:rsid w:val="00B25F34"/>
    <w:rsid w:val="00B34439"/>
    <w:rsid w:val="00B34854"/>
    <w:rsid w:val="00B37547"/>
    <w:rsid w:val="00B42C16"/>
    <w:rsid w:val="00B4537B"/>
    <w:rsid w:val="00B46091"/>
    <w:rsid w:val="00B57588"/>
    <w:rsid w:val="00B60541"/>
    <w:rsid w:val="00B6251B"/>
    <w:rsid w:val="00B74269"/>
    <w:rsid w:val="00B74D18"/>
    <w:rsid w:val="00B75AF3"/>
    <w:rsid w:val="00B76788"/>
    <w:rsid w:val="00B81EC0"/>
    <w:rsid w:val="00B862B9"/>
    <w:rsid w:val="00B908F6"/>
    <w:rsid w:val="00B9473B"/>
    <w:rsid w:val="00B94CC5"/>
    <w:rsid w:val="00BA5C06"/>
    <w:rsid w:val="00BB0155"/>
    <w:rsid w:val="00BB1178"/>
    <w:rsid w:val="00BB123E"/>
    <w:rsid w:val="00BB3EDC"/>
    <w:rsid w:val="00BB5EF3"/>
    <w:rsid w:val="00BC0F2A"/>
    <w:rsid w:val="00BC1DDE"/>
    <w:rsid w:val="00BC6E8F"/>
    <w:rsid w:val="00BD7466"/>
    <w:rsid w:val="00BE0D2A"/>
    <w:rsid w:val="00BE10E6"/>
    <w:rsid w:val="00BE3DBC"/>
    <w:rsid w:val="00BF5A3E"/>
    <w:rsid w:val="00C00BCE"/>
    <w:rsid w:val="00C03ECC"/>
    <w:rsid w:val="00C04B12"/>
    <w:rsid w:val="00C06CA4"/>
    <w:rsid w:val="00C10FFB"/>
    <w:rsid w:val="00C11BCD"/>
    <w:rsid w:val="00C17579"/>
    <w:rsid w:val="00C22443"/>
    <w:rsid w:val="00C22DDD"/>
    <w:rsid w:val="00C30274"/>
    <w:rsid w:val="00C302D3"/>
    <w:rsid w:val="00C3567E"/>
    <w:rsid w:val="00C363DE"/>
    <w:rsid w:val="00C37252"/>
    <w:rsid w:val="00C4446C"/>
    <w:rsid w:val="00C51C96"/>
    <w:rsid w:val="00C60881"/>
    <w:rsid w:val="00C645E3"/>
    <w:rsid w:val="00C66695"/>
    <w:rsid w:val="00C67DC7"/>
    <w:rsid w:val="00C77888"/>
    <w:rsid w:val="00C77F81"/>
    <w:rsid w:val="00C82EF0"/>
    <w:rsid w:val="00C83EAE"/>
    <w:rsid w:val="00C8641A"/>
    <w:rsid w:val="00C876DB"/>
    <w:rsid w:val="00C91027"/>
    <w:rsid w:val="00C945A8"/>
    <w:rsid w:val="00C9558A"/>
    <w:rsid w:val="00CB4536"/>
    <w:rsid w:val="00CB7EF7"/>
    <w:rsid w:val="00CC2515"/>
    <w:rsid w:val="00CC2E72"/>
    <w:rsid w:val="00CC7BE2"/>
    <w:rsid w:val="00CD4CED"/>
    <w:rsid w:val="00CD63CC"/>
    <w:rsid w:val="00CD6E43"/>
    <w:rsid w:val="00CE04DC"/>
    <w:rsid w:val="00CE1E5E"/>
    <w:rsid w:val="00CE1FE2"/>
    <w:rsid w:val="00CE481D"/>
    <w:rsid w:val="00D00398"/>
    <w:rsid w:val="00D05A8A"/>
    <w:rsid w:val="00D077A7"/>
    <w:rsid w:val="00D10868"/>
    <w:rsid w:val="00D1606C"/>
    <w:rsid w:val="00D20473"/>
    <w:rsid w:val="00D32301"/>
    <w:rsid w:val="00D33381"/>
    <w:rsid w:val="00D3595F"/>
    <w:rsid w:val="00D37AD6"/>
    <w:rsid w:val="00D425B9"/>
    <w:rsid w:val="00D60263"/>
    <w:rsid w:val="00D63D6D"/>
    <w:rsid w:val="00D70C55"/>
    <w:rsid w:val="00D76CF3"/>
    <w:rsid w:val="00D76F15"/>
    <w:rsid w:val="00D80E74"/>
    <w:rsid w:val="00D920CD"/>
    <w:rsid w:val="00DA5843"/>
    <w:rsid w:val="00DB68BE"/>
    <w:rsid w:val="00DC0DAA"/>
    <w:rsid w:val="00DC2C13"/>
    <w:rsid w:val="00DC3F25"/>
    <w:rsid w:val="00DD2F7F"/>
    <w:rsid w:val="00DD30CF"/>
    <w:rsid w:val="00DD5893"/>
    <w:rsid w:val="00DD59E8"/>
    <w:rsid w:val="00DD7CD3"/>
    <w:rsid w:val="00DF0D0B"/>
    <w:rsid w:val="00DF52ED"/>
    <w:rsid w:val="00E01F9B"/>
    <w:rsid w:val="00E03DE5"/>
    <w:rsid w:val="00E07A0D"/>
    <w:rsid w:val="00E10BF7"/>
    <w:rsid w:val="00E14273"/>
    <w:rsid w:val="00E16F40"/>
    <w:rsid w:val="00E17208"/>
    <w:rsid w:val="00E24FAB"/>
    <w:rsid w:val="00E25D01"/>
    <w:rsid w:val="00E26768"/>
    <w:rsid w:val="00E31529"/>
    <w:rsid w:val="00E3351B"/>
    <w:rsid w:val="00E34512"/>
    <w:rsid w:val="00E40FC2"/>
    <w:rsid w:val="00E46A77"/>
    <w:rsid w:val="00E50212"/>
    <w:rsid w:val="00E50B17"/>
    <w:rsid w:val="00E56C0A"/>
    <w:rsid w:val="00E61385"/>
    <w:rsid w:val="00E615E0"/>
    <w:rsid w:val="00E629F7"/>
    <w:rsid w:val="00E62D7A"/>
    <w:rsid w:val="00E646FB"/>
    <w:rsid w:val="00E70486"/>
    <w:rsid w:val="00E74F1E"/>
    <w:rsid w:val="00E9001E"/>
    <w:rsid w:val="00EA1994"/>
    <w:rsid w:val="00EB5741"/>
    <w:rsid w:val="00EB715C"/>
    <w:rsid w:val="00EC5656"/>
    <w:rsid w:val="00EC5C7D"/>
    <w:rsid w:val="00ED259B"/>
    <w:rsid w:val="00EE4D96"/>
    <w:rsid w:val="00EF1864"/>
    <w:rsid w:val="00EF1D7B"/>
    <w:rsid w:val="00EF6C4E"/>
    <w:rsid w:val="00F00E21"/>
    <w:rsid w:val="00F27353"/>
    <w:rsid w:val="00F34F9D"/>
    <w:rsid w:val="00F40763"/>
    <w:rsid w:val="00F50687"/>
    <w:rsid w:val="00F50759"/>
    <w:rsid w:val="00F55940"/>
    <w:rsid w:val="00F55A0E"/>
    <w:rsid w:val="00F62C75"/>
    <w:rsid w:val="00F7113A"/>
    <w:rsid w:val="00F71C8D"/>
    <w:rsid w:val="00F721BD"/>
    <w:rsid w:val="00F7227A"/>
    <w:rsid w:val="00F73AE8"/>
    <w:rsid w:val="00F8703F"/>
    <w:rsid w:val="00F93AA3"/>
    <w:rsid w:val="00F970F9"/>
    <w:rsid w:val="00FA3363"/>
    <w:rsid w:val="00FA4EA6"/>
    <w:rsid w:val="00FA5319"/>
    <w:rsid w:val="00FA7B11"/>
    <w:rsid w:val="00FB4185"/>
    <w:rsid w:val="00FC3FB2"/>
    <w:rsid w:val="00FC4548"/>
    <w:rsid w:val="00FD0E12"/>
    <w:rsid w:val="00FD1957"/>
    <w:rsid w:val="00FD1B05"/>
    <w:rsid w:val="00FD1BCB"/>
    <w:rsid w:val="00FD2373"/>
    <w:rsid w:val="00FD3F99"/>
    <w:rsid w:val="00FD5D22"/>
    <w:rsid w:val="00FE0242"/>
    <w:rsid w:val="00FE0D6A"/>
    <w:rsid w:val="00FE2861"/>
    <w:rsid w:val="00FE3201"/>
    <w:rsid w:val="00FE4B8D"/>
    <w:rsid w:val="00FE5DA0"/>
    <w:rsid w:val="00FF04B8"/>
    <w:rsid w:val="00FF4A3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8CE8A"/>
  <w15:docId w15:val="{3328531F-2B76-4928-A3FD-78FBED5C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503"/>
    <w:rPr>
      <w:sz w:val="24"/>
      <w:szCs w:val="24"/>
    </w:rPr>
  </w:style>
  <w:style w:type="paragraph" w:styleId="Heading1">
    <w:name w:val="heading 1"/>
    <w:basedOn w:val="Normal"/>
    <w:next w:val="Normal"/>
    <w:link w:val="Heading1Char"/>
    <w:uiPriority w:val="9"/>
    <w:qFormat/>
    <w:rsid w:val="00145503"/>
    <w:pPr>
      <w:keepNext/>
      <w:outlineLvl w:val="0"/>
    </w:pPr>
    <w:rPr>
      <w:b/>
      <w:bCs/>
    </w:rPr>
  </w:style>
  <w:style w:type="paragraph" w:styleId="Heading2">
    <w:name w:val="heading 2"/>
    <w:basedOn w:val="Normal"/>
    <w:next w:val="Normal"/>
    <w:link w:val="Heading2Char"/>
    <w:uiPriority w:val="9"/>
    <w:qFormat/>
    <w:rsid w:val="001455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455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145503"/>
    <w:pPr>
      <w:keepNext/>
      <w:spacing w:before="100" w:after="100" w:line="360" w:lineRule="auto"/>
      <w:jc w:val="right"/>
      <w:outlineLvl w:val="3"/>
    </w:pPr>
    <w:rPr>
      <w:rFonts w:ascii="Century Schoolbook" w:hAnsi="Century Schoolbook"/>
      <w:b/>
      <w:bCs/>
      <w:i/>
      <w:iCs/>
      <w:sz w:val="28"/>
    </w:rPr>
  </w:style>
  <w:style w:type="paragraph" w:styleId="Heading5">
    <w:name w:val="heading 5"/>
    <w:basedOn w:val="Normal"/>
    <w:next w:val="Normal"/>
    <w:link w:val="Heading5Char"/>
    <w:uiPriority w:val="99"/>
    <w:qFormat/>
    <w:rsid w:val="00145503"/>
    <w:pPr>
      <w:keepNext/>
      <w:jc w:val="both"/>
      <w:outlineLvl w:val="4"/>
    </w:pPr>
    <w:rPr>
      <w:b/>
      <w:sz w:val="22"/>
    </w:rPr>
  </w:style>
  <w:style w:type="paragraph" w:styleId="Heading6">
    <w:name w:val="heading 6"/>
    <w:basedOn w:val="Normal"/>
    <w:next w:val="Normal"/>
    <w:link w:val="Heading6Char"/>
    <w:uiPriority w:val="99"/>
    <w:qFormat/>
    <w:rsid w:val="00145503"/>
    <w:pPr>
      <w:keepNext/>
      <w:tabs>
        <w:tab w:val="left" w:pos="6210"/>
      </w:tabs>
      <w:ind w:left="360"/>
      <w:jc w:val="both"/>
      <w:outlineLvl w:val="5"/>
    </w:pPr>
    <w:rPr>
      <w:b/>
    </w:rPr>
  </w:style>
  <w:style w:type="paragraph" w:styleId="Heading7">
    <w:name w:val="heading 7"/>
    <w:basedOn w:val="Normal"/>
    <w:next w:val="Normal"/>
    <w:link w:val="Heading7Char"/>
    <w:qFormat/>
    <w:rsid w:val="00145503"/>
    <w:pPr>
      <w:keepNext/>
      <w:outlineLvl w:val="6"/>
    </w:pPr>
    <w:rPr>
      <w:b/>
      <w:sz w:val="22"/>
    </w:rPr>
  </w:style>
  <w:style w:type="paragraph" w:styleId="Heading8">
    <w:name w:val="heading 8"/>
    <w:basedOn w:val="Normal"/>
    <w:next w:val="Normal"/>
    <w:link w:val="Heading8Char"/>
    <w:qFormat/>
    <w:rsid w:val="00145503"/>
    <w:pPr>
      <w:keepNext/>
      <w:spacing w:line="360" w:lineRule="auto"/>
      <w:jc w:val="center"/>
      <w:outlineLvl w:val="7"/>
    </w:pPr>
    <w:rPr>
      <w:i/>
      <w:iCs/>
      <w:sz w:val="28"/>
    </w:rPr>
  </w:style>
  <w:style w:type="paragraph" w:styleId="Heading9">
    <w:name w:val="heading 9"/>
    <w:basedOn w:val="Normal"/>
    <w:next w:val="Normal"/>
    <w:link w:val="Heading9Char"/>
    <w:qFormat/>
    <w:rsid w:val="00145503"/>
    <w:pPr>
      <w:keepNext/>
      <w:pBdr>
        <w:top w:val="single" w:sz="4" w:space="1" w:color="auto"/>
        <w:bottom w:val="single" w:sz="4" w:space="1" w:color="auto"/>
      </w:pBdr>
      <w:ind w:left="540" w:right="562"/>
      <w:jc w:val="both"/>
      <w:outlineLvl w:val="8"/>
    </w:pPr>
    <w:rPr>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0489C"/>
    <w:rPr>
      <w:b/>
      <w:bCs/>
      <w:sz w:val="24"/>
      <w:szCs w:val="24"/>
    </w:rPr>
  </w:style>
  <w:style w:type="character" w:customStyle="1" w:styleId="Heading2Char">
    <w:name w:val="Heading 2 Char"/>
    <w:basedOn w:val="DefaultParagraphFont"/>
    <w:link w:val="Heading2"/>
    <w:uiPriority w:val="9"/>
    <w:qFormat/>
    <w:rsid w:val="00C30274"/>
    <w:rPr>
      <w:rFonts w:ascii="Arial" w:hAnsi="Arial" w:cs="Arial"/>
      <w:b/>
      <w:bCs/>
      <w:i/>
      <w:iCs/>
      <w:sz w:val="28"/>
      <w:szCs w:val="28"/>
    </w:rPr>
  </w:style>
  <w:style w:type="character" w:customStyle="1" w:styleId="Heading3Char">
    <w:name w:val="Heading 3 Char"/>
    <w:basedOn w:val="DefaultParagraphFont"/>
    <w:link w:val="Heading3"/>
    <w:uiPriority w:val="9"/>
    <w:rsid w:val="00B34854"/>
    <w:rPr>
      <w:rFonts w:ascii="Arial" w:hAnsi="Arial" w:cs="Arial"/>
      <w:b/>
      <w:bCs/>
      <w:sz w:val="26"/>
      <w:szCs w:val="26"/>
    </w:rPr>
  </w:style>
  <w:style w:type="character" w:customStyle="1" w:styleId="Heading4Char">
    <w:name w:val="Heading 4 Char"/>
    <w:basedOn w:val="DefaultParagraphFont"/>
    <w:link w:val="Heading4"/>
    <w:uiPriority w:val="99"/>
    <w:rsid w:val="00B34854"/>
    <w:rPr>
      <w:rFonts w:ascii="Century Schoolbook" w:hAnsi="Century Schoolbook"/>
      <w:b/>
      <w:bCs/>
      <w:i/>
      <w:iCs/>
      <w:sz w:val="28"/>
      <w:szCs w:val="24"/>
    </w:rPr>
  </w:style>
  <w:style w:type="character" w:customStyle="1" w:styleId="Heading5Char">
    <w:name w:val="Heading 5 Char"/>
    <w:basedOn w:val="DefaultParagraphFont"/>
    <w:link w:val="Heading5"/>
    <w:uiPriority w:val="99"/>
    <w:rsid w:val="00B34854"/>
    <w:rPr>
      <w:b/>
      <w:sz w:val="22"/>
      <w:szCs w:val="24"/>
    </w:rPr>
  </w:style>
  <w:style w:type="character" w:customStyle="1" w:styleId="Heading6Char">
    <w:name w:val="Heading 6 Char"/>
    <w:basedOn w:val="DefaultParagraphFont"/>
    <w:link w:val="Heading6"/>
    <w:uiPriority w:val="99"/>
    <w:rsid w:val="00B34854"/>
    <w:rPr>
      <w:b/>
      <w:sz w:val="24"/>
      <w:szCs w:val="24"/>
    </w:rPr>
  </w:style>
  <w:style w:type="paragraph" w:styleId="BodyTextIndent">
    <w:name w:val="Body Text Indent"/>
    <w:basedOn w:val="Normal"/>
    <w:link w:val="BodyTextIndentChar"/>
    <w:rsid w:val="00145503"/>
    <w:pPr>
      <w:ind w:left="720"/>
      <w:jc w:val="both"/>
    </w:pPr>
    <w:rPr>
      <w:sz w:val="18"/>
    </w:rPr>
  </w:style>
  <w:style w:type="paragraph" w:styleId="Title">
    <w:name w:val="Title"/>
    <w:basedOn w:val="Normal"/>
    <w:link w:val="TitleChar"/>
    <w:qFormat/>
    <w:rsid w:val="00145503"/>
    <w:pPr>
      <w:jc w:val="center"/>
    </w:pPr>
    <w:rPr>
      <w:b/>
      <w:bCs/>
      <w:caps/>
      <w:sz w:val="20"/>
    </w:rPr>
  </w:style>
  <w:style w:type="paragraph" w:styleId="Header">
    <w:name w:val="header"/>
    <w:basedOn w:val="Normal"/>
    <w:link w:val="HeaderChar"/>
    <w:uiPriority w:val="99"/>
    <w:qFormat/>
    <w:rsid w:val="00145503"/>
    <w:pPr>
      <w:tabs>
        <w:tab w:val="center" w:pos="4320"/>
        <w:tab w:val="right" w:pos="8640"/>
      </w:tabs>
    </w:pPr>
  </w:style>
  <w:style w:type="character" w:customStyle="1" w:styleId="HeaderChar">
    <w:name w:val="Header Char"/>
    <w:basedOn w:val="DefaultParagraphFont"/>
    <w:link w:val="Header"/>
    <w:uiPriority w:val="99"/>
    <w:qFormat/>
    <w:rsid w:val="007F4F50"/>
    <w:rPr>
      <w:sz w:val="24"/>
      <w:szCs w:val="24"/>
    </w:rPr>
  </w:style>
  <w:style w:type="paragraph" w:styleId="Footer">
    <w:name w:val="footer"/>
    <w:aliases w:val="Char"/>
    <w:basedOn w:val="Normal"/>
    <w:link w:val="FooterChar"/>
    <w:uiPriority w:val="99"/>
    <w:qFormat/>
    <w:rsid w:val="00145503"/>
    <w:pPr>
      <w:tabs>
        <w:tab w:val="center" w:pos="4320"/>
        <w:tab w:val="right" w:pos="8640"/>
      </w:tabs>
    </w:pPr>
  </w:style>
  <w:style w:type="character" w:customStyle="1" w:styleId="FooterChar">
    <w:name w:val="Footer Char"/>
    <w:aliases w:val="Char Char1"/>
    <w:basedOn w:val="DefaultParagraphFont"/>
    <w:link w:val="Footer"/>
    <w:uiPriority w:val="99"/>
    <w:qFormat/>
    <w:rsid w:val="007F4F50"/>
    <w:rPr>
      <w:sz w:val="24"/>
      <w:szCs w:val="24"/>
    </w:rPr>
  </w:style>
  <w:style w:type="character" w:styleId="PageNumber">
    <w:name w:val="page number"/>
    <w:basedOn w:val="DefaultParagraphFont"/>
    <w:rsid w:val="00145503"/>
  </w:style>
  <w:style w:type="paragraph" w:styleId="BodyText">
    <w:name w:val="Body Text"/>
    <w:aliases w:val="bt,Body text"/>
    <w:basedOn w:val="Normal"/>
    <w:link w:val="BodyTextChar"/>
    <w:qFormat/>
    <w:rsid w:val="00145503"/>
    <w:pPr>
      <w:spacing w:after="120"/>
    </w:pPr>
  </w:style>
  <w:style w:type="character" w:customStyle="1" w:styleId="BodyTextChar">
    <w:name w:val="Body Text Char"/>
    <w:aliases w:val="bt Char,Body text Char"/>
    <w:basedOn w:val="DefaultParagraphFont"/>
    <w:link w:val="BodyText"/>
    <w:qFormat/>
    <w:rsid w:val="0090489C"/>
    <w:rPr>
      <w:sz w:val="24"/>
      <w:szCs w:val="24"/>
    </w:rPr>
  </w:style>
  <w:style w:type="paragraph" w:styleId="BodyText2">
    <w:name w:val="Body Text 2"/>
    <w:basedOn w:val="Normal"/>
    <w:link w:val="BodyText2Char"/>
    <w:qFormat/>
    <w:rsid w:val="00145503"/>
    <w:pPr>
      <w:spacing w:after="120" w:line="480" w:lineRule="auto"/>
    </w:pPr>
  </w:style>
  <w:style w:type="paragraph" w:styleId="BodyText3">
    <w:name w:val="Body Text 3"/>
    <w:basedOn w:val="Normal"/>
    <w:link w:val="BodyText3Char"/>
    <w:rsid w:val="00145503"/>
    <w:pPr>
      <w:spacing w:after="120"/>
    </w:pPr>
    <w:rPr>
      <w:sz w:val="16"/>
      <w:szCs w:val="16"/>
    </w:rPr>
  </w:style>
  <w:style w:type="paragraph" w:styleId="BodyTextIndent2">
    <w:name w:val="Body Text Indent 2"/>
    <w:basedOn w:val="Normal"/>
    <w:link w:val="BodyTextIndent2Char"/>
    <w:rsid w:val="00145503"/>
    <w:pPr>
      <w:spacing w:after="120" w:line="480" w:lineRule="auto"/>
      <w:ind w:left="360"/>
    </w:pPr>
  </w:style>
  <w:style w:type="paragraph" w:styleId="BodyTextIndent3">
    <w:name w:val="Body Text Indent 3"/>
    <w:basedOn w:val="Normal"/>
    <w:link w:val="BodyTextIndent3Char"/>
    <w:rsid w:val="00145503"/>
    <w:pPr>
      <w:spacing w:before="60" w:after="60" w:line="360" w:lineRule="auto"/>
      <w:ind w:left="360" w:hanging="360"/>
      <w:jc w:val="both"/>
    </w:pPr>
    <w:rPr>
      <w:rFonts w:ascii="Century Schoolbook" w:hAnsi="Century Schoolbook"/>
    </w:rPr>
  </w:style>
  <w:style w:type="character" w:styleId="Hyperlink">
    <w:name w:val="Hyperlink"/>
    <w:basedOn w:val="DefaultParagraphFont"/>
    <w:uiPriority w:val="99"/>
    <w:qFormat/>
    <w:rsid w:val="00145503"/>
    <w:rPr>
      <w:color w:val="0000FF"/>
      <w:u w:val="single"/>
    </w:rPr>
  </w:style>
  <w:style w:type="paragraph" w:customStyle="1" w:styleId="a">
    <w:name w:val=".."/>
    <w:basedOn w:val="Default"/>
    <w:next w:val="Default"/>
    <w:rsid w:val="00145503"/>
    <w:rPr>
      <w:color w:val="auto"/>
    </w:rPr>
  </w:style>
  <w:style w:type="paragraph" w:customStyle="1" w:styleId="Default">
    <w:name w:val="Default"/>
    <w:qFormat/>
    <w:rsid w:val="00145503"/>
    <w:pPr>
      <w:autoSpaceDE w:val="0"/>
      <w:autoSpaceDN w:val="0"/>
      <w:adjustRightInd w:val="0"/>
    </w:pPr>
    <w:rPr>
      <w:rFonts w:eastAsia="SimSun"/>
      <w:color w:val="000000"/>
      <w:sz w:val="24"/>
      <w:szCs w:val="24"/>
      <w:lang w:eastAsia="zh-CN"/>
    </w:rPr>
  </w:style>
  <w:style w:type="character" w:styleId="FollowedHyperlink">
    <w:name w:val="FollowedHyperlink"/>
    <w:basedOn w:val="DefaultParagraphFont"/>
    <w:qFormat/>
    <w:rsid w:val="00145503"/>
    <w:rPr>
      <w:color w:val="800080"/>
      <w:u w:val="single"/>
    </w:rPr>
  </w:style>
  <w:style w:type="paragraph" w:styleId="BlockText">
    <w:name w:val="Block Text"/>
    <w:basedOn w:val="Normal"/>
    <w:rsid w:val="00145503"/>
    <w:pPr>
      <w:ind w:left="540" w:right="562"/>
      <w:jc w:val="both"/>
    </w:pPr>
    <w:rPr>
      <w:b/>
      <w:bCs/>
      <w:szCs w:val="28"/>
    </w:rPr>
  </w:style>
  <w:style w:type="paragraph" w:styleId="NormalWeb">
    <w:name w:val="Normal (Web)"/>
    <w:basedOn w:val="Normal"/>
    <w:uiPriority w:val="99"/>
    <w:qFormat/>
    <w:rsid w:val="00145503"/>
    <w:pPr>
      <w:spacing w:before="100" w:beforeAutospacing="1" w:after="100" w:afterAutospacing="1"/>
    </w:pPr>
  </w:style>
  <w:style w:type="character" w:customStyle="1" w:styleId="texhtml">
    <w:name w:val="texhtml"/>
    <w:basedOn w:val="DefaultParagraphFont"/>
    <w:rsid w:val="00145503"/>
  </w:style>
  <w:style w:type="paragraph" w:styleId="CommentText">
    <w:name w:val="annotation text"/>
    <w:basedOn w:val="Normal"/>
    <w:link w:val="CommentTextChar"/>
    <w:uiPriority w:val="99"/>
    <w:qFormat/>
    <w:rsid w:val="00145503"/>
    <w:rPr>
      <w:sz w:val="20"/>
      <w:szCs w:val="20"/>
    </w:rPr>
  </w:style>
  <w:style w:type="character" w:customStyle="1" w:styleId="CommentTextChar">
    <w:name w:val="Comment Text Char"/>
    <w:basedOn w:val="DefaultParagraphFont"/>
    <w:link w:val="CommentText"/>
    <w:uiPriority w:val="99"/>
    <w:qFormat/>
    <w:rsid w:val="00D1606C"/>
  </w:style>
  <w:style w:type="paragraph" w:styleId="Caption">
    <w:name w:val="caption"/>
    <w:basedOn w:val="Normal"/>
    <w:next w:val="Normal"/>
    <w:uiPriority w:val="35"/>
    <w:qFormat/>
    <w:rsid w:val="00145503"/>
    <w:pPr>
      <w:spacing w:line="360" w:lineRule="auto"/>
      <w:jc w:val="both"/>
    </w:pPr>
    <w:rPr>
      <w:b/>
      <w:bCs/>
      <w:szCs w:val="22"/>
    </w:rPr>
  </w:style>
  <w:style w:type="paragraph" w:styleId="PlainText">
    <w:name w:val="Plain Text"/>
    <w:basedOn w:val="Normal"/>
    <w:link w:val="PlainTextChar"/>
    <w:rsid w:val="00145503"/>
    <w:rPr>
      <w:rFonts w:ascii="Courier New" w:hAnsi="Courier New"/>
      <w:sz w:val="20"/>
      <w:szCs w:val="20"/>
    </w:rPr>
  </w:style>
  <w:style w:type="paragraph" w:customStyle="1" w:styleId="CM12">
    <w:name w:val="CM12"/>
    <w:basedOn w:val="Default"/>
    <w:next w:val="Default"/>
    <w:rsid w:val="00145503"/>
    <w:pPr>
      <w:widowControl w:val="0"/>
    </w:pPr>
    <w:rPr>
      <w:rFonts w:ascii="ZapfHumnst BT" w:eastAsia="Times New Roman" w:hAnsi="ZapfHumnst BT"/>
      <w:color w:val="auto"/>
      <w:lang w:eastAsia="en-US"/>
    </w:rPr>
  </w:style>
  <w:style w:type="paragraph" w:customStyle="1" w:styleId="Normaljustify">
    <w:name w:val="Normal + justify"/>
    <w:basedOn w:val="Normal"/>
    <w:rsid w:val="00145503"/>
    <w:rPr>
      <w:rFonts w:eastAsia="MS Mincho"/>
      <w:lang w:val="en-GB" w:eastAsia="ja-JP"/>
    </w:rPr>
  </w:style>
  <w:style w:type="character" w:customStyle="1" w:styleId="aps-heading1">
    <w:name w:val="aps-heading1"/>
    <w:basedOn w:val="DefaultParagraphFont"/>
    <w:rsid w:val="00145503"/>
    <w:rPr>
      <w:b/>
      <w:bCs/>
      <w:sz w:val="26"/>
      <w:szCs w:val="26"/>
    </w:rPr>
  </w:style>
  <w:style w:type="paragraph" w:styleId="FootnoteText">
    <w:name w:val="footnote text"/>
    <w:basedOn w:val="Normal"/>
    <w:link w:val="FootnoteTextChar1"/>
    <w:semiHidden/>
    <w:rsid w:val="00145503"/>
    <w:rPr>
      <w:sz w:val="20"/>
      <w:szCs w:val="20"/>
    </w:rPr>
  </w:style>
  <w:style w:type="paragraph" w:styleId="EndnoteText">
    <w:name w:val="endnote text"/>
    <w:basedOn w:val="Normal"/>
    <w:link w:val="EndnoteTextChar"/>
    <w:semiHidden/>
    <w:rsid w:val="00145503"/>
    <w:rPr>
      <w:sz w:val="20"/>
      <w:szCs w:val="20"/>
    </w:rPr>
  </w:style>
  <w:style w:type="character" w:styleId="EndnoteReference">
    <w:name w:val="endnote reference"/>
    <w:basedOn w:val="DefaultParagraphFont"/>
    <w:semiHidden/>
    <w:rsid w:val="00145503"/>
    <w:rPr>
      <w:vertAlign w:val="superscript"/>
    </w:rPr>
  </w:style>
  <w:style w:type="character" w:customStyle="1" w:styleId="yshortcuts">
    <w:name w:val="yshortcuts"/>
    <w:basedOn w:val="DefaultParagraphFont"/>
    <w:rsid w:val="00145503"/>
  </w:style>
  <w:style w:type="character" w:styleId="FootnoteReference">
    <w:name w:val="footnote reference"/>
    <w:basedOn w:val="DefaultParagraphFont"/>
    <w:semiHidden/>
    <w:rsid w:val="00145503"/>
    <w:rPr>
      <w:vertAlign w:val="superscript"/>
    </w:rPr>
  </w:style>
  <w:style w:type="paragraph" w:styleId="List">
    <w:name w:val="List"/>
    <w:basedOn w:val="Normal"/>
    <w:rsid w:val="00145503"/>
    <w:pPr>
      <w:ind w:left="360" w:hanging="360"/>
    </w:pPr>
  </w:style>
  <w:style w:type="paragraph" w:styleId="Salutation">
    <w:name w:val="Salutation"/>
    <w:basedOn w:val="Normal"/>
    <w:next w:val="Normal"/>
    <w:rsid w:val="00145503"/>
  </w:style>
  <w:style w:type="paragraph" w:styleId="Closing">
    <w:name w:val="Closing"/>
    <w:basedOn w:val="Normal"/>
    <w:rsid w:val="00145503"/>
    <w:pPr>
      <w:ind w:left="4320"/>
    </w:pPr>
  </w:style>
  <w:style w:type="paragraph" w:customStyle="1" w:styleId="InsideAddress">
    <w:name w:val="Inside Address"/>
    <w:basedOn w:val="Normal"/>
    <w:rsid w:val="00145503"/>
  </w:style>
  <w:style w:type="paragraph" w:styleId="Signature">
    <w:name w:val="Signature"/>
    <w:basedOn w:val="Normal"/>
    <w:rsid w:val="00145503"/>
    <w:pPr>
      <w:ind w:left="4320"/>
    </w:pPr>
  </w:style>
  <w:style w:type="character" w:styleId="CommentReference">
    <w:name w:val="annotation reference"/>
    <w:basedOn w:val="DefaultParagraphFont"/>
    <w:uiPriority w:val="99"/>
    <w:qFormat/>
    <w:rsid w:val="00145503"/>
    <w:rPr>
      <w:sz w:val="16"/>
      <w:szCs w:val="16"/>
    </w:rPr>
  </w:style>
  <w:style w:type="character" w:customStyle="1" w:styleId="jrnl">
    <w:name w:val="jrnl"/>
    <w:basedOn w:val="DefaultParagraphFont"/>
    <w:rsid w:val="00145503"/>
  </w:style>
  <w:style w:type="character" w:customStyle="1" w:styleId="pseudotab2">
    <w:name w:val="pseudotab2"/>
    <w:basedOn w:val="DefaultParagraphFont"/>
    <w:rsid w:val="00145503"/>
  </w:style>
  <w:style w:type="character" w:styleId="Strong">
    <w:name w:val="Strong"/>
    <w:basedOn w:val="DefaultParagraphFont"/>
    <w:uiPriority w:val="22"/>
    <w:qFormat/>
    <w:rsid w:val="00145503"/>
    <w:rPr>
      <w:b/>
      <w:bCs/>
    </w:rPr>
  </w:style>
  <w:style w:type="paragraph" w:styleId="BalloonText">
    <w:name w:val="Balloon Text"/>
    <w:basedOn w:val="Normal"/>
    <w:link w:val="BalloonTextChar"/>
    <w:uiPriority w:val="99"/>
    <w:unhideWhenUsed/>
    <w:qFormat/>
    <w:rsid w:val="0090489C"/>
    <w:rPr>
      <w:rFonts w:ascii="Tahoma" w:hAnsi="Tahoma"/>
      <w:sz w:val="16"/>
      <w:szCs w:val="16"/>
    </w:rPr>
  </w:style>
  <w:style w:type="character" w:customStyle="1" w:styleId="BalloonTextChar">
    <w:name w:val="Balloon Text Char"/>
    <w:basedOn w:val="DefaultParagraphFont"/>
    <w:link w:val="BalloonText"/>
    <w:uiPriority w:val="99"/>
    <w:qFormat/>
    <w:rsid w:val="0090489C"/>
    <w:rPr>
      <w:rFonts w:ascii="Tahoma" w:hAnsi="Tahoma"/>
      <w:sz w:val="16"/>
      <w:szCs w:val="16"/>
    </w:rPr>
  </w:style>
  <w:style w:type="table" w:styleId="TableGrid">
    <w:name w:val="Table Grid"/>
    <w:basedOn w:val="TableNormal"/>
    <w:uiPriority w:val="59"/>
    <w:qFormat/>
    <w:rsid w:val="007F4F5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7F4F50"/>
    <w:pPr>
      <w:spacing w:after="200" w:line="276" w:lineRule="auto"/>
      <w:ind w:left="720"/>
      <w:contextualSpacing/>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qFormat/>
    <w:rsid w:val="007F4F50"/>
    <w:rPr>
      <w:color w:val="808080"/>
    </w:rPr>
  </w:style>
  <w:style w:type="paragraph" w:styleId="DocumentMap">
    <w:name w:val="Document Map"/>
    <w:basedOn w:val="Normal"/>
    <w:link w:val="DocumentMapChar"/>
    <w:uiPriority w:val="99"/>
    <w:unhideWhenUsed/>
    <w:rsid w:val="007F4F50"/>
    <w:rPr>
      <w:rFonts w:ascii="Tahoma" w:eastAsiaTheme="minorEastAsia" w:hAnsi="Tahoma" w:cs="Tahoma"/>
      <w:sz w:val="16"/>
      <w:szCs w:val="16"/>
    </w:rPr>
  </w:style>
  <w:style w:type="character" w:customStyle="1" w:styleId="DocumentMapChar">
    <w:name w:val="Document Map Char"/>
    <w:basedOn w:val="DefaultParagraphFont"/>
    <w:link w:val="DocumentMap"/>
    <w:uiPriority w:val="99"/>
    <w:rsid w:val="007F4F50"/>
    <w:rPr>
      <w:rFonts w:ascii="Tahoma" w:eastAsiaTheme="minorEastAsia" w:hAnsi="Tahoma" w:cs="Tahoma"/>
      <w:sz w:val="16"/>
      <w:szCs w:val="16"/>
    </w:rPr>
  </w:style>
  <w:style w:type="table" w:customStyle="1" w:styleId="GridTable1Light1">
    <w:name w:val="Grid Table 1 Light1"/>
    <w:basedOn w:val="TableNormal"/>
    <w:uiPriority w:val="46"/>
    <w:rsid w:val="00122EE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55078"/>
    <w:rPr>
      <w:rFonts w:asciiTheme="minorHAnsi" w:eastAsiaTheme="minorEastAsia" w:hAnsiTheme="minorHAnsi" w:cstheme="minorBidi"/>
      <w:sz w:val="22"/>
      <w:szCs w:val="22"/>
    </w:rPr>
  </w:style>
  <w:style w:type="character" w:customStyle="1" w:styleId="productdetail-authorsmain">
    <w:name w:val="productdetail-authorsmain"/>
    <w:basedOn w:val="DefaultParagraphFont"/>
    <w:rsid w:val="00A55078"/>
  </w:style>
  <w:style w:type="paragraph" w:customStyle="1" w:styleId="MTDisplayEquation">
    <w:name w:val="MTDisplayEquation"/>
    <w:basedOn w:val="Normal"/>
    <w:next w:val="Normal"/>
    <w:link w:val="MTDisplayEquationChar"/>
    <w:rsid w:val="00381392"/>
    <w:pPr>
      <w:tabs>
        <w:tab w:val="center" w:pos="4520"/>
        <w:tab w:val="right" w:pos="9020"/>
      </w:tabs>
      <w:autoSpaceDE w:val="0"/>
      <w:autoSpaceDN w:val="0"/>
      <w:adjustRightInd w:val="0"/>
    </w:pPr>
    <w:rPr>
      <w:rFonts w:eastAsiaTheme="minorEastAsia"/>
      <w:sz w:val="32"/>
      <w:szCs w:val="32"/>
    </w:rPr>
  </w:style>
  <w:style w:type="character" w:customStyle="1" w:styleId="MTDisplayEquationChar">
    <w:name w:val="MTDisplayEquation Char"/>
    <w:basedOn w:val="DefaultParagraphFont"/>
    <w:link w:val="MTDisplayEquation"/>
    <w:rsid w:val="00381392"/>
    <w:rPr>
      <w:rFonts w:eastAsiaTheme="minorEastAsia"/>
      <w:sz w:val="32"/>
      <w:szCs w:val="32"/>
    </w:rPr>
  </w:style>
  <w:style w:type="character" w:customStyle="1" w:styleId="mwe-math-mathml-inline">
    <w:name w:val="mwe-math-mathml-inline"/>
    <w:basedOn w:val="DefaultParagraphFont"/>
    <w:rsid w:val="00381392"/>
  </w:style>
  <w:style w:type="character" w:styleId="Emphasis">
    <w:name w:val="Emphasis"/>
    <w:basedOn w:val="DefaultParagraphFont"/>
    <w:uiPriority w:val="20"/>
    <w:qFormat/>
    <w:rsid w:val="00B74269"/>
    <w:rPr>
      <w:i/>
      <w:iCs/>
    </w:rPr>
  </w:style>
  <w:style w:type="paragraph" w:styleId="HTMLPreformatted">
    <w:name w:val="HTML Preformatted"/>
    <w:basedOn w:val="Normal"/>
    <w:link w:val="HTMLPreformattedChar"/>
    <w:uiPriority w:val="99"/>
    <w:unhideWhenUsed/>
    <w:qFormat/>
    <w:rsid w:val="00C30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C30274"/>
    <w:rPr>
      <w:rFonts w:ascii="Courier New" w:hAnsi="Courier New" w:cs="Courier New"/>
    </w:rPr>
  </w:style>
  <w:style w:type="character" w:styleId="LineNumber">
    <w:name w:val="line number"/>
    <w:basedOn w:val="DefaultParagraphFont"/>
    <w:uiPriority w:val="99"/>
    <w:unhideWhenUsed/>
    <w:rsid w:val="00C30274"/>
  </w:style>
  <w:style w:type="character" w:customStyle="1" w:styleId="tooltip">
    <w:name w:val="tooltip"/>
    <w:basedOn w:val="DefaultParagraphFont"/>
    <w:qFormat/>
    <w:rsid w:val="00C30274"/>
  </w:style>
  <w:style w:type="character" w:customStyle="1" w:styleId="gnkrckgcgsb">
    <w:name w:val="gnkrckgcgsb"/>
    <w:basedOn w:val="DefaultParagraphFont"/>
    <w:qFormat/>
    <w:rsid w:val="00C30274"/>
  </w:style>
  <w:style w:type="paragraph" w:customStyle="1" w:styleId="z-TopofForm1">
    <w:name w:val="z-Top of Form1"/>
    <w:basedOn w:val="Normal"/>
    <w:next w:val="Normal"/>
    <w:link w:val="z-TopofFormChar"/>
    <w:uiPriority w:val="99"/>
    <w:semiHidden/>
    <w:unhideWhenUsed/>
    <w:qFormat/>
    <w:rsid w:val="00C3027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sid w:val="00C30274"/>
    <w:rPr>
      <w:rFonts w:ascii="Arial"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C3027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qFormat/>
    <w:rsid w:val="00C30274"/>
    <w:rPr>
      <w:rFonts w:ascii="Arial" w:hAnsi="Arial" w:cs="Arial"/>
      <w:vanish/>
      <w:sz w:val="16"/>
      <w:szCs w:val="16"/>
    </w:rPr>
  </w:style>
  <w:style w:type="table" w:customStyle="1" w:styleId="PlainTable21">
    <w:name w:val="Plain Table 21"/>
    <w:basedOn w:val="TableNormal"/>
    <w:uiPriority w:val="42"/>
    <w:qFormat/>
    <w:rsid w:val="00C30274"/>
    <w:rPr>
      <w:rFonts w:eastAsia="SimSun"/>
      <w:lang w:val="en-SG" w:eastAsia="en-SG"/>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ojvnm2t">
    <w:name w:val="tojvnm2t"/>
    <w:basedOn w:val="DefaultParagraphFont"/>
    <w:qFormat/>
    <w:rsid w:val="00C30274"/>
  </w:style>
  <w:style w:type="character" w:customStyle="1" w:styleId="linkify">
    <w:name w:val="linkify"/>
    <w:basedOn w:val="DefaultParagraphFont"/>
    <w:rsid w:val="00743B83"/>
  </w:style>
  <w:style w:type="character" w:customStyle="1" w:styleId="hgkelc">
    <w:name w:val="hgkelc"/>
    <w:basedOn w:val="DefaultParagraphFont"/>
    <w:rsid w:val="00743B83"/>
  </w:style>
  <w:style w:type="character" w:customStyle="1" w:styleId="markedcontent">
    <w:name w:val="markedcontent"/>
    <w:basedOn w:val="DefaultParagraphFont"/>
    <w:rsid w:val="00743B83"/>
  </w:style>
  <w:style w:type="character" w:customStyle="1" w:styleId="citation">
    <w:name w:val="citation"/>
    <w:basedOn w:val="DefaultParagraphFont"/>
    <w:rsid w:val="00743B83"/>
  </w:style>
  <w:style w:type="character" w:customStyle="1" w:styleId="reference">
    <w:name w:val="reference"/>
    <w:basedOn w:val="DefaultParagraphFont"/>
    <w:rsid w:val="00743B83"/>
  </w:style>
  <w:style w:type="character" w:customStyle="1" w:styleId="mjxassistivemathml">
    <w:name w:val="mjx_assistive_mathml"/>
    <w:basedOn w:val="DefaultParagraphFont"/>
    <w:rsid w:val="00D1606C"/>
  </w:style>
  <w:style w:type="paragraph" w:styleId="CommentSubject">
    <w:name w:val="annotation subject"/>
    <w:basedOn w:val="CommentText"/>
    <w:next w:val="CommentText"/>
    <w:link w:val="CommentSubjectChar"/>
    <w:uiPriority w:val="99"/>
    <w:unhideWhenUsed/>
    <w:rsid w:val="00D1606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qFormat/>
    <w:rsid w:val="00D1606C"/>
    <w:rPr>
      <w:rFonts w:asciiTheme="minorHAnsi" w:eastAsiaTheme="minorHAnsi" w:hAnsiTheme="minorHAnsi" w:cstheme="minorBidi"/>
      <w:b/>
      <w:bCs/>
    </w:rPr>
  </w:style>
  <w:style w:type="table" w:customStyle="1" w:styleId="TableGrid1">
    <w:name w:val="Table Grid1"/>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160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7018"/>
    <w:rPr>
      <w:rFonts w:asciiTheme="minorHAnsi" w:eastAsiaTheme="minorHAnsi" w:hAnsiTheme="minorHAnsi" w:cstheme="minorBidi"/>
      <w:sz w:val="22"/>
      <w:szCs w:val="22"/>
    </w:rPr>
  </w:style>
  <w:style w:type="character" w:customStyle="1" w:styleId="fontstyle01">
    <w:name w:val="fontstyle01"/>
    <w:basedOn w:val="DefaultParagraphFont"/>
    <w:rsid w:val="00B34854"/>
    <w:rPr>
      <w:rFonts w:ascii="CMR10" w:hAnsi="CMR10" w:hint="default"/>
      <w:b w:val="0"/>
      <w:bCs w:val="0"/>
      <w:i w:val="0"/>
      <w:iCs w:val="0"/>
      <w:color w:val="000000"/>
      <w:sz w:val="20"/>
      <w:szCs w:val="20"/>
    </w:rPr>
  </w:style>
  <w:style w:type="paragraph" w:styleId="TOCHeading">
    <w:name w:val="TOC Heading"/>
    <w:basedOn w:val="Heading1"/>
    <w:next w:val="Normal"/>
    <w:uiPriority w:val="39"/>
    <w:unhideWhenUsed/>
    <w:qFormat/>
    <w:rsid w:val="000272AD"/>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0272AD"/>
    <w:pPr>
      <w:spacing w:before="360" w:after="360"/>
    </w:pPr>
    <w:rPr>
      <w:rFonts w:asciiTheme="minorHAnsi" w:eastAsiaTheme="minorHAnsi" w:hAnsiTheme="minorHAnsi" w:cstheme="minorBidi"/>
      <w:b/>
      <w:bCs/>
      <w:caps/>
      <w:sz w:val="22"/>
      <w:szCs w:val="22"/>
      <w:u w:val="single"/>
    </w:rPr>
  </w:style>
  <w:style w:type="paragraph" w:styleId="TOC2">
    <w:name w:val="toc 2"/>
    <w:basedOn w:val="Normal"/>
    <w:next w:val="Normal"/>
    <w:autoRedefine/>
    <w:uiPriority w:val="39"/>
    <w:unhideWhenUsed/>
    <w:rsid w:val="000272AD"/>
    <w:rPr>
      <w:rFonts w:asciiTheme="minorHAnsi" w:eastAsiaTheme="minorHAnsi" w:hAnsiTheme="minorHAnsi" w:cstheme="minorBidi"/>
      <w:b/>
      <w:bCs/>
      <w:smallCaps/>
      <w:sz w:val="22"/>
      <w:szCs w:val="22"/>
    </w:rPr>
  </w:style>
  <w:style w:type="paragraph" w:styleId="TOC3">
    <w:name w:val="toc 3"/>
    <w:basedOn w:val="Normal"/>
    <w:next w:val="Normal"/>
    <w:autoRedefine/>
    <w:uiPriority w:val="39"/>
    <w:unhideWhenUsed/>
    <w:rsid w:val="000272AD"/>
    <w:rPr>
      <w:rFonts w:asciiTheme="minorHAnsi" w:eastAsiaTheme="minorHAnsi" w:hAnsiTheme="minorHAnsi" w:cstheme="minorBidi"/>
      <w:smallCaps/>
      <w:sz w:val="22"/>
      <w:szCs w:val="22"/>
    </w:rPr>
  </w:style>
  <w:style w:type="paragraph" w:styleId="TOC4">
    <w:name w:val="toc 4"/>
    <w:basedOn w:val="Normal"/>
    <w:next w:val="Normal"/>
    <w:autoRedefine/>
    <w:unhideWhenUsed/>
    <w:rsid w:val="000272AD"/>
    <w:rPr>
      <w:rFonts w:asciiTheme="minorHAnsi" w:eastAsiaTheme="minorHAnsi" w:hAnsiTheme="minorHAnsi" w:cstheme="minorBidi"/>
      <w:sz w:val="22"/>
      <w:szCs w:val="22"/>
    </w:rPr>
  </w:style>
  <w:style w:type="paragraph" w:styleId="TOC5">
    <w:name w:val="toc 5"/>
    <w:basedOn w:val="Normal"/>
    <w:next w:val="Normal"/>
    <w:autoRedefine/>
    <w:unhideWhenUsed/>
    <w:rsid w:val="000272AD"/>
    <w:rPr>
      <w:rFonts w:asciiTheme="minorHAnsi" w:eastAsiaTheme="minorHAnsi" w:hAnsiTheme="minorHAnsi" w:cstheme="minorBidi"/>
      <w:sz w:val="22"/>
      <w:szCs w:val="22"/>
    </w:rPr>
  </w:style>
  <w:style w:type="paragraph" w:styleId="TOC6">
    <w:name w:val="toc 6"/>
    <w:basedOn w:val="Normal"/>
    <w:next w:val="Normal"/>
    <w:autoRedefine/>
    <w:unhideWhenUsed/>
    <w:rsid w:val="000272AD"/>
    <w:rPr>
      <w:rFonts w:asciiTheme="minorHAnsi" w:eastAsiaTheme="minorHAnsi" w:hAnsiTheme="minorHAnsi" w:cstheme="minorBidi"/>
      <w:sz w:val="22"/>
      <w:szCs w:val="22"/>
    </w:rPr>
  </w:style>
  <w:style w:type="paragraph" w:styleId="TOC7">
    <w:name w:val="toc 7"/>
    <w:basedOn w:val="Normal"/>
    <w:next w:val="Normal"/>
    <w:autoRedefine/>
    <w:unhideWhenUsed/>
    <w:rsid w:val="000272AD"/>
    <w:rPr>
      <w:rFonts w:asciiTheme="minorHAnsi" w:eastAsiaTheme="minorHAnsi" w:hAnsiTheme="minorHAnsi" w:cstheme="minorBidi"/>
      <w:sz w:val="22"/>
      <w:szCs w:val="22"/>
    </w:rPr>
  </w:style>
  <w:style w:type="paragraph" w:styleId="TOC8">
    <w:name w:val="toc 8"/>
    <w:basedOn w:val="Normal"/>
    <w:next w:val="Normal"/>
    <w:autoRedefine/>
    <w:unhideWhenUsed/>
    <w:rsid w:val="000272AD"/>
    <w:rPr>
      <w:rFonts w:asciiTheme="minorHAnsi" w:eastAsiaTheme="minorHAnsi" w:hAnsiTheme="minorHAnsi" w:cstheme="minorBidi"/>
      <w:sz w:val="22"/>
      <w:szCs w:val="22"/>
    </w:rPr>
  </w:style>
  <w:style w:type="paragraph" w:styleId="TOC9">
    <w:name w:val="toc 9"/>
    <w:basedOn w:val="Normal"/>
    <w:next w:val="Normal"/>
    <w:autoRedefine/>
    <w:unhideWhenUsed/>
    <w:rsid w:val="000272AD"/>
    <w:rPr>
      <w:rFonts w:asciiTheme="minorHAnsi" w:eastAsiaTheme="minorHAnsi" w:hAnsiTheme="minorHAnsi" w:cstheme="minorBidi"/>
      <w:sz w:val="22"/>
      <w:szCs w:val="22"/>
    </w:rPr>
  </w:style>
  <w:style w:type="character" w:customStyle="1" w:styleId="sc-prorn">
    <w:name w:val="sc-prorn"/>
    <w:basedOn w:val="DefaultParagraphFont"/>
    <w:rsid w:val="000272AD"/>
  </w:style>
  <w:style w:type="character" w:customStyle="1" w:styleId="sc-provx">
    <w:name w:val="sc-provx"/>
    <w:basedOn w:val="DefaultParagraphFont"/>
    <w:rsid w:val="000272AD"/>
  </w:style>
  <w:style w:type="character" w:customStyle="1" w:styleId="apple-converted-space">
    <w:name w:val="apple-converted-space"/>
    <w:basedOn w:val="DefaultParagraphFont"/>
    <w:rsid w:val="000272AD"/>
  </w:style>
  <w:style w:type="character" w:customStyle="1" w:styleId="Heading7Char">
    <w:name w:val="Heading 7 Char"/>
    <w:basedOn w:val="DefaultParagraphFont"/>
    <w:link w:val="Heading7"/>
    <w:qFormat/>
    <w:rsid w:val="008E3599"/>
    <w:rPr>
      <w:b/>
      <w:sz w:val="22"/>
      <w:szCs w:val="24"/>
    </w:rPr>
  </w:style>
  <w:style w:type="character" w:customStyle="1" w:styleId="ListParagraphChar">
    <w:name w:val="List Paragraph Char"/>
    <w:link w:val="ListParagraph"/>
    <w:uiPriority w:val="34"/>
    <w:qFormat/>
    <w:rsid w:val="008E3599"/>
    <w:rPr>
      <w:rFonts w:asciiTheme="minorHAnsi" w:eastAsiaTheme="minorEastAsia" w:hAnsiTheme="minorHAnsi" w:cstheme="minorBidi"/>
      <w:sz w:val="22"/>
      <w:szCs w:val="22"/>
    </w:rPr>
  </w:style>
  <w:style w:type="character" w:customStyle="1" w:styleId="highlight">
    <w:name w:val="highlight"/>
    <w:basedOn w:val="DefaultParagraphFont"/>
    <w:qFormat/>
    <w:rsid w:val="008E3599"/>
  </w:style>
  <w:style w:type="character" w:customStyle="1" w:styleId="BalloonTextChar1">
    <w:name w:val="Balloon Text Char1"/>
    <w:aliases w:val="Char Char2 Char1,Char Char21 Char1,Char Char211 Char1"/>
    <w:basedOn w:val="DefaultParagraphFont"/>
    <w:qFormat/>
    <w:rsid w:val="008E3599"/>
    <w:rPr>
      <w:rFonts w:ascii="Tahoma" w:hAnsi="Tahoma" w:cs="Tahoma"/>
      <w:sz w:val="16"/>
      <w:szCs w:val="16"/>
    </w:rPr>
  </w:style>
  <w:style w:type="character" w:customStyle="1" w:styleId="BodyText2Char">
    <w:name w:val="Body Text 2 Char"/>
    <w:basedOn w:val="DefaultParagraphFont"/>
    <w:link w:val="BodyText2"/>
    <w:qFormat/>
    <w:rsid w:val="008E3599"/>
    <w:rPr>
      <w:sz w:val="24"/>
      <w:szCs w:val="24"/>
    </w:rPr>
  </w:style>
  <w:style w:type="character" w:customStyle="1" w:styleId="normaltext">
    <w:name w:val="normaltext"/>
    <w:basedOn w:val="DefaultParagraphFont"/>
    <w:qFormat/>
    <w:rsid w:val="008E3599"/>
  </w:style>
  <w:style w:type="paragraph" w:customStyle="1" w:styleId="Revision1">
    <w:name w:val="Revision1"/>
    <w:hidden/>
    <w:uiPriority w:val="99"/>
    <w:semiHidden/>
    <w:qFormat/>
    <w:rsid w:val="008E3599"/>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qFormat/>
    <w:rsid w:val="008E3599"/>
    <w:rPr>
      <w:color w:val="605E5C"/>
      <w:shd w:val="clear" w:color="auto" w:fill="E1DFDD"/>
    </w:rPr>
  </w:style>
  <w:style w:type="character" w:customStyle="1" w:styleId="disblock">
    <w:name w:val="disblock"/>
    <w:basedOn w:val="DefaultParagraphFont"/>
    <w:qFormat/>
    <w:rsid w:val="008E3599"/>
  </w:style>
  <w:style w:type="character" w:customStyle="1" w:styleId="cls-response">
    <w:name w:val="cls-response"/>
    <w:basedOn w:val="DefaultParagraphFont"/>
    <w:qFormat/>
    <w:rsid w:val="008E3599"/>
  </w:style>
  <w:style w:type="numbering" w:customStyle="1" w:styleId="NoList1">
    <w:name w:val="No List1"/>
    <w:next w:val="NoList"/>
    <w:uiPriority w:val="99"/>
    <w:semiHidden/>
    <w:unhideWhenUsed/>
    <w:rsid w:val="008E3599"/>
  </w:style>
  <w:style w:type="character" w:customStyle="1" w:styleId="Heading8Char">
    <w:name w:val="Heading 8 Char"/>
    <w:basedOn w:val="DefaultParagraphFont"/>
    <w:link w:val="Heading8"/>
    <w:locked/>
    <w:rsid w:val="008E3599"/>
    <w:rPr>
      <w:i/>
      <w:iCs/>
      <w:sz w:val="28"/>
      <w:szCs w:val="24"/>
    </w:rPr>
  </w:style>
  <w:style w:type="character" w:customStyle="1" w:styleId="Heading9Char">
    <w:name w:val="Heading 9 Char"/>
    <w:basedOn w:val="DefaultParagraphFont"/>
    <w:link w:val="Heading9"/>
    <w:locked/>
    <w:rsid w:val="008E3599"/>
    <w:rPr>
      <w:b/>
      <w:szCs w:val="28"/>
    </w:rPr>
  </w:style>
  <w:style w:type="character" w:customStyle="1" w:styleId="FootnoteTextChar">
    <w:name w:val="Footnote Text Char"/>
    <w:basedOn w:val="DefaultParagraphFont"/>
    <w:semiHidden/>
    <w:locked/>
    <w:rsid w:val="008E3599"/>
    <w:rPr>
      <w:rFonts w:cs="Times New Roman"/>
      <w:sz w:val="20"/>
      <w:szCs w:val="20"/>
    </w:rPr>
  </w:style>
  <w:style w:type="character" w:customStyle="1" w:styleId="FooterChar1">
    <w:name w:val="Footer Char1"/>
    <w:aliases w:val="Char Char"/>
    <w:basedOn w:val="DefaultParagraphFont"/>
    <w:locked/>
    <w:rsid w:val="008E3599"/>
    <w:rPr>
      <w:rFonts w:cs="Times New Roman"/>
    </w:rPr>
  </w:style>
  <w:style w:type="character" w:customStyle="1" w:styleId="EndnoteTextChar">
    <w:name w:val="Endnote Text Char"/>
    <w:basedOn w:val="DefaultParagraphFont"/>
    <w:link w:val="EndnoteText"/>
    <w:semiHidden/>
    <w:locked/>
    <w:rsid w:val="008E3599"/>
  </w:style>
  <w:style w:type="character" w:customStyle="1" w:styleId="TitleChar">
    <w:name w:val="Title Char"/>
    <w:basedOn w:val="DefaultParagraphFont"/>
    <w:link w:val="Title"/>
    <w:locked/>
    <w:rsid w:val="008E3599"/>
    <w:rPr>
      <w:b/>
      <w:bCs/>
      <w:caps/>
      <w:szCs w:val="24"/>
    </w:rPr>
  </w:style>
  <w:style w:type="character" w:customStyle="1" w:styleId="BodyTextIndentChar">
    <w:name w:val="Body Text Indent Char"/>
    <w:basedOn w:val="DefaultParagraphFont"/>
    <w:link w:val="BodyTextIndent"/>
    <w:locked/>
    <w:rsid w:val="008E3599"/>
    <w:rPr>
      <w:sz w:val="18"/>
      <w:szCs w:val="24"/>
    </w:rPr>
  </w:style>
  <w:style w:type="paragraph" w:styleId="ListContinue">
    <w:name w:val="List Continue"/>
    <w:basedOn w:val="Normal"/>
    <w:rsid w:val="008E3599"/>
    <w:pPr>
      <w:widowControl w:val="0"/>
      <w:spacing w:before="120" w:after="120"/>
      <w:ind w:left="360"/>
      <w:jc w:val="both"/>
    </w:pPr>
    <w:rPr>
      <w:rFonts w:ascii="Courier New" w:eastAsia="Calibri" w:hAnsi="Courier New" w:cs="Courier New"/>
    </w:rPr>
  </w:style>
  <w:style w:type="paragraph" w:styleId="Subtitle">
    <w:name w:val="Subtitle"/>
    <w:basedOn w:val="Normal"/>
    <w:next w:val="Normal"/>
    <w:link w:val="SubtitleChar"/>
    <w:qFormat/>
    <w:rsid w:val="008E3599"/>
    <w:pPr>
      <w:keepNext/>
      <w:keepLines/>
      <w:spacing w:before="360" w:after="80"/>
    </w:pPr>
    <w:rPr>
      <w:rFonts w:ascii="Georgia" w:hAnsi="Georgia" w:cs="Georgia"/>
      <w:i/>
      <w:iCs/>
      <w:color w:val="666666"/>
      <w:sz w:val="48"/>
      <w:szCs w:val="48"/>
    </w:rPr>
  </w:style>
  <w:style w:type="character" w:customStyle="1" w:styleId="SubtitleChar">
    <w:name w:val="Subtitle Char"/>
    <w:basedOn w:val="DefaultParagraphFont"/>
    <w:link w:val="Subtitle"/>
    <w:rsid w:val="008E3599"/>
    <w:rPr>
      <w:rFonts w:ascii="Georgia" w:hAnsi="Georgia" w:cs="Georgia"/>
      <w:i/>
      <w:iCs/>
      <w:color w:val="666666"/>
      <w:sz w:val="48"/>
      <w:szCs w:val="48"/>
    </w:rPr>
  </w:style>
  <w:style w:type="character" w:customStyle="1" w:styleId="BodyText3Char">
    <w:name w:val="Body Text 3 Char"/>
    <w:basedOn w:val="DefaultParagraphFont"/>
    <w:link w:val="BodyText3"/>
    <w:locked/>
    <w:rsid w:val="008E3599"/>
    <w:rPr>
      <w:sz w:val="16"/>
      <w:szCs w:val="16"/>
    </w:rPr>
  </w:style>
  <w:style w:type="character" w:customStyle="1" w:styleId="BodyTextIndent2Char">
    <w:name w:val="Body Text Indent 2 Char"/>
    <w:basedOn w:val="DefaultParagraphFont"/>
    <w:link w:val="BodyTextIndent2"/>
    <w:locked/>
    <w:rsid w:val="008E3599"/>
    <w:rPr>
      <w:sz w:val="24"/>
      <w:szCs w:val="24"/>
    </w:rPr>
  </w:style>
  <w:style w:type="character" w:customStyle="1" w:styleId="BodyTextIndent3Char">
    <w:name w:val="Body Text Indent 3 Char"/>
    <w:basedOn w:val="DefaultParagraphFont"/>
    <w:link w:val="BodyTextIndent3"/>
    <w:locked/>
    <w:rsid w:val="008E3599"/>
    <w:rPr>
      <w:rFonts w:ascii="Century Schoolbook" w:hAnsi="Century Schoolbook"/>
      <w:sz w:val="24"/>
      <w:szCs w:val="24"/>
    </w:rPr>
  </w:style>
  <w:style w:type="character" w:customStyle="1" w:styleId="PlainTextChar">
    <w:name w:val="Plain Text Char"/>
    <w:basedOn w:val="DefaultParagraphFont"/>
    <w:link w:val="PlainText"/>
    <w:locked/>
    <w:rsid w:val="008E3599"/>
    <w:rPr>
      <w:rFonts w:ascii="Courier New" w:hAnsi="Courier New"/>
    </w:rPr>
  </w:style>
  <w:style w:type="paragraph" w:customStyle="1" w:styleId="BalloonText1">
    <w:name w:val="Balloon Text1"/>
    <w:aliases w:val="Char Char21,Char Char211,Char Char2111,Char Char3,Char Char31,Char Char4"/>
    <w:basedOn w:val="Normal"/>
    <w:rsid w:val="008E3599"/>
    <w:rPr>
      <w:rFonts w:ascii="Tahoma" w:hAnsi="Tahoma" w:cs="Tahoma"/>
      <w:sz w:val="16"/>
      <w:szCs w:val="16"/>
    </w:rPr>
  </w:style>
  <w:style w:type="character" w:customStyle="1" w:styleId="NoSpacingChar">
    <w:name w:val="No Spacing Char"/>
    <w:basedOn w:val="DefaultParagraphFont"/>
    <w:link w:val="NoSpacing"/>
    <w:locked/>
    <w:rsid w:val="008E3599"/>
    <w:rPr>
      <w:rFonts w:asciiTheme="minorHAnsi" w:eastAsiaTheme="minorEastAsia" w:hAnsiTheme="minorHAnsi" w:cstheme="minorBidi"/>
      <w:sz w:val="22"/>
      <w:szCs w:val="22"/>
    </w:rPr>
  </w:style>
  <w:style w:type="paragraph" w:customStyle="1" w:styleId="ListParagraph1">
    <w:name w:val="List Paragraph1"/>
    <w:aliases w:val="References,Dot pt,F5 List Paragraph,List Paragraph Char Char Char,Indicator Text,Numbered Para 1,Evidence on Demand bullet points,Bullets 1 space,List Paragraph11,Recommendatio,Párrafo de lista,Recommendation"/>
    <w:basedOn w:val="Normal"/>
    <w:rsid w:val="008E3599"/>
    <w:pPr>
      <w:spacing w:after="160" w:line="256" w:lineRule="auto"/>
      <w:ind w:left="720"/>
    </w:pPr>
    <w:rPr>
      <w:rFonts w:ascii="Calibri" w:hAnsi="Calibri" w:cs="Calibri"/>
      <w:sz w:val="22"/>
      <w:szCs w:val="22"/>
    </w:rPr>
  </w:style>
  <w:style w:type="paragraph" w:styleId="Quote">
    <w:name w:val="Quote"/>
    <w:basedOn w:val="Normal"/>
    <w:next w:val="Normal"/>
    <w:link w:val="QuoteChar"/>
    <w:qFormat/>
    <w:rsid w:val="008E3599"/>
    <w:pPr>
      <w:jc w:val="center"/>
    </w:pPr>
    <w:rPr>
      <w:rFonts w:ascii="Nikosh" w:eastAsia="Calibri" w:hAnsi="Nikosh" w:cs="Nikosh"/>
      <w:color w:val="000000"/>
      <w:sz w:val="26"/>
      <w:szCs w:val="26"/>
    </w:rPr>
  </w:style>
  <w:style w:type="character" w:customStyle="1" w:styleId="QuoteChar">
    <w:name w:val="Quote Char"/>
    <w:basedOn w:val="DefaultParagraphFont"/>
    <w:link w:val="Quote"/>
    <w:rsid w:val="008E3599"/>
    <w:rPr>
      <w:rFonts w:ascii="Nikosh" w:eastAsia="Calibri" w:hAnsi="Nikosh" w:cs="Nikosh"/>
      <w:color w:val="000000"/>
      <w:sz w:val="26"/>
      <w:szCs w:val="26"/>
    </w:rPr>
  </w:style>
  <w:style w:type="paragraph" w:customStyle="1" w:styleId="Para1">
    <w:name w:val="Para 1"/>
    <w:basedOn w:val="Normal"/>
    <w:rsid w:val="008E3599"/>
    <w:pPr>
      <w:spacing w:beforeLines="100" w:afterLines="100" w:line="288" w:lineRule="atLeast"/>
    </w:pPr>
    <w:rPr>
      <w:rFonts w:ascii="Cambria" w:hAnsi="Cambria" w:cs="Cambria"/>
      <w:b/>
      <w:bCs/>
      <w:color w:val="000000"/>
    </w:rPr>
  </w:style>
  <w:style w:type="paragraph" w:customStyle="1" w:styleId="Pa6">
    <w:name w:val="Pa6"/>
    <w:basedOn w:val="Normal"/>
    <w:next w:val="Normal"/>
    <w:rsid w:val="008E3599"/>
    <w:pPr>
      <w:autoSpaceDE w:val="0"/>
      <w:autoSpaceDN w:val="0"/>
      <w:adjustRightInd w:val="0"/>
      <w:spacing w:line="241" w:lineRule="atLeast"/>
    </w:pPr>
    <w:rPr>
      <w:rFonts w:eastAsia="Calibri"/>
    </w:rPr>
  </w:style>
  <w:style w:type="paragraph" w:customStyle="1" w:styleId="Pa1">
    <w:name w:val="Pa1"/>
    <w:basedOn w:val="Normal"/>
    <w:next w:val="Normal"/>
    <w:rsid w:val="008E3599"/>
    <w:pPr>
      <w:autoSpaceDE w:val="0"/>
      <w:autoSpaceDN w:val="0"/>
      <w:adjustRightInd w:val="0"/>
      <w:spacing w:line="241" w:lineRule="atLeast"/>
    </w:pPr>
    <w:rPr>
      <w:rFonts w:eastAsia="Calibri"/>
    </w:rPr>
  </w:style>
  <w:style w:type="paragraph" w:customStyle="1" w:styleId="xl24">
    <w:name w:val="xl24"/>
    <w:basedOn w:val="Normal"/>
    <w:rsid w:val="008E3599"/>
    <w:pPr>
      <w:spacing w:before="100" w:beforeAutospacing="1" w:after="100" w:afterAutospacing="1"/>
      <w:jc w:val="both"/>
    </w:pPr>
    <w:rPr>
      <w:rFonts w:ascii="Calibri" w:hAnsi="Calibri" w:cs="Calibri"/>
    </w:rPr>
  </w:style>
  <w:style w:type="paragraph" w:customStyle="1" w:styleId="xl29">
    <w:name w:val="xl29"/>
    <w:basedOn w:val="Normal"/>
    <w:rsid w:val="008E3599"/>
    <w:pPr>
      <w:spacing w:before="100" w:beforeAutospacing="1" w:after="100" w:afterAutospacing="1"/>
      <w:jc w:val="center"/>
    </w:pPr>
    <w:rPr>
      <w:rFonts w:eastAsia="Calibri"/>
      <w:b/>
      <w:bCs/>
    </w:rPr>
  </w:style>
  <w:style w:type="paragraph" w:customStyle="1" w:styleId="xl25">
    <w:name w:val="xl25"/>
    <w:basedOn w:val="Normal"/>
    <w:rsid w:val="008E3599"/>
    <w:pPr>
      <w:pBdr>
        <w:right w:val="single" w:sz="4" w:space="0" w:color="auto"/>
      </w:pBdr>
      <w:spacing w:before="100" w:beforeAutospacing="1" w:after="100" w:afterAutospacing="1"/>
      <w:jc w:val="center"/>
    </w:pPr>
    <w:rPr>
      <w:rFonts w:ascii="Calibri" w:hAnsi="Calibri" w:cs="Calibri"/>
      <w:sz w:val="16"/>
      <w:szCs w:val="16"/>
    </w:rPr>
  </w:style>
  <w:style w:type="paragraph" w:customStyle="1" w:styleId="xl26">
    <w:name w:val="xl26"/>
    <w:basedOn w:val="Normal"/>
    <w:rsid w:val="008E3599"/>
    <w:pPr>
      <w:spacing w:before="100" w:beforeAutospacing="1" w:after="100" w:afterAutospacing="1"/>
      <w:jc w:val="center"/>
    </w:pPr>
    <w:rPr>
      <w:rFonts w:ascii="Calibri" w:hAnsi="Calibri" w:cs="Calibri"/>
    </w:rPr>
  </w:style>
  <w:style w:type="paragraph" w:customStyle="1" w:styleId="xl27">
    <w:name w:val="xl27"/>
    <w:basedOn w:val="Normal"/>
    <w:rsid w:val="008E3599"/>
    <w:pPr>
      <w:pBdr>
        <w:right w:val="single" w:sz="4" w:space="0" w:color="auto"/>
      </w:pBdr>
      <w:spacing w:before="100" w:beforeAutospacing="1" w:after="100" w:afterAutospacing="1"/>
      <w:jc w:val="center"/>
    </w:pPr>
    <w:rPr>
      <w:rFonts w:ascii="Calibri" w:hAnsi="Calibri" w:cs="Calibri"/>
    </w:rPr>
  </w:style>
  <w:style w:type="paragraph" w:customStyle="1" w:styleId="xl28">
    <w:name w:val="xl28"/>
    <w:basedOn w:val="Normal"/>
    <w:rsid w:val="008E3599"/>
    <w:pPr>
      <w:spacing w:before="100" w:beforeAutospacing="1" w:after="100" w:afterAutospacing="1"/>
      <w:jc w:val="center"/>
    </w:pPr>
    <w:rPr>
      <w:rFonts w:ascii="Calibri" w:hAnsi="Calibri" w:cs="Calibri"/>
    </w:rPr>
  </w:style>
  <w:style w:type="paragraph" w:customStyle="1" w:styleId="xl30">
    <w:name w:val="xl3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rPr>
  </w:style>
  <w:style w:type="paragraph" w:customStyle="1" w:styleId="xl31">
    <w:name w:val="xl31"/>
    <w:basedOn w:val="Normal"/>
    <w:rsid w:val="008E3599"/>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rPr>
  </w:style>
  <w:style w:type="paragraph" w:customStyle="1" w:styleId="xl32">
    <w:name w:val="xl32"/>
    <w:basedOn w:val="Normal"/>
    <w:rsid w:val="008E3599"/>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b/>
      <w:bCs/>
      <w:sz w:val="18"/>
      <w:szCs w:val="18"/>
    </w:rPr>
  </w:style>
  <w:style w:type="paragraph" w:customStyle="1" w:styleId="xl33">
    <w:name w:val="xl33"/>
    <w:basedOn w:val="Normal"/>
    <w:rsid w:val="008E3599"/>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18"/>
      <w:szCs w:val="18"/>
    </w:rPr>
  </w:style>
  <w:style w:type="paragraph" w:customStyle="1" w:styleId="xl34">
    <w:name w:val="xl34"/>
    <w:basedOn w:val="Normal"/>
    <w:rsid w:val="008E3599"/>
    <w:pPr>
      <w:spacing w:before="100" w:beforeAutospacing="1" w:after="100" w:afterAutospacing="1"/>
      <w:jc w:val="both"/>
    </w:pPr>
    <w:rPr>
      <w:rFonts w:ascii="Courier New" w:hAnsi="Courier New" w:cs="Courier New"/>
    </w:rPr>
  </w:style>
  <w:style w:type="paragraph" w:customStyle="1" w:styleId="xl35">
    <w:name w:val="xl35"/>
    <w:basedOn w:val="Normal"/>
    <w:rsid w:val="008E3599"/>
    <w:pPr>
      <w:pBdr>
        <w:top w:val="single" w:sz="4" w:space="0" w:color="auto"/>
        <w:left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36">
    <w:name w:val="xl36"/>
    <w:basedOn w:val="Normal"/>
    <w:rsid w:val="008E3599"/>
    <w:pPr>
      <w:pBdr>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rPr>
  </w:style>
  <w:style w:type="paragraph" w:customStyle="1" w:styleId="xl22">
    <w:name w:val="xl22"/>
    <w:basedOn w:val="Normal"/>
    <w:rsid w:val="008E3599"/>
    <w:pPr>
      <w:spacing w:before="100" w:beforeAutospacing="1" w:after="100" w:afterAutospacing="1"/>
      <w:jc w:val="both"/>
    </w:pPr>
    <w:rPr>
      <w:rFonts w:ascii="SutonnyMJ" w:hAnsi="SutonnyMJ" w:cs="SutonnyMJ"/>
      <w:sz w:val="28"/>
      <w:szCs w:val="28"/>
      <w:lang w:val="en-AU"/>
    </w:rPr>
  </w:style>
  <w:style w:type="paragraph" w:customStyle="1" w:styleId="148">
    <w:name w:val="148"/>
    <w:rsid w:val="008E3599"/>
    <w:rPr>
      <w:rFonts w:ascii="NikoshBAN" w:eastAsia="Calibri" w:hAnsi="NikoshBAN" w:cs="NikoshBAN"/>
    </w:rPr>
  </w:style>
  <w:style w:type="paragraph" w:customStyle="1" w:styleId="3">
    <w:name w:val="3"/>
    <w:rsid w:val="008E3599"/>
    <w:rPr>
      <w:rFonts w:ascii="NikoshBAN" w:eastAsia="Calibri" w:hAnsi="NikoshBAN" w:cs="NikoshBAN"/>
    </w:rPr>
  </w:style>
  <w:style w:type="paragraph" w:customStyle="1" w:styleId="38">
    <w:name w:val="38"/>
    <w:rsid w:val="008E3599"/>
    <w:rPr>
      <w:rFonts w:ascii="NikoshBAN" w:eastAsia="Calibri" w:hAnsi="NikoshBAN" w:cs="NikoshBAN"/>
    </w:rPr>
  </w:style>
  <w:style w:type="paragraph" w:customStyle="1" w:styleId="Figure">
    <w:name w:val="Figure"/>
    <w:basedOn w:val="Normal"/>
    <w:rsid w:val="008E3599"/>
    <w:pPr>
      <w:keepLines/>
      <w:spacing w:before="120"/>
      <w:jc w:val="center"/>
    </w:pPr>
    <w:rPr>
      <w:rFonts w:ascii="Charter BT" w:eastAsia="Calibri" w:hAnsi="Charter BT" w:cs="Charter BT"/>
      <w:kern w:val="18"/>
      <w:lang w:val="en-GB"/>
    </w:rPr>
  </w:style>
  <w:style w:type="paragraph" w:customStyle="1" w:styleId="147">
    <w:name w:val="147"/>
    <w:rsid w:val="008E3599"/>
    <w:rPr>
      <w:rFonts w:ascii="NikoshBAN" w:eastAsia="Calibri" w:hAnsi="NikoshBAN" w:cs="NikoshBAN"/>
    </w:rPr>
  </w:style>
  <w:style w:type="paragraph" w:customStyle="1" w:styleId="37">
    <w:name w:val="37"/>
    <w:rsid w:val="008E3599"/>
    <w:rPr>
      <w:rFonts w:ascii="NikoshBAN" w:eastAsia="Calibri" w:hAnsi="NikoshBAN" w:cs="NikoshBAN"/>
    </w:rPr>
  </w:style>
  <w:style w:type="paragraph" w:customStyle="1" w:styleId="36">
    <w:name w:val="36"/>
    <w:rsid w:val="008E3599"/>
    <w:rPr>
      <w:rFonts w:ascii="NikoshBAN" w:eastAsia="Calibri" w:hAnsi="NikoshBAN" w:cs="NikoshBAN"/>
    </w:rPr>
  </w:style>
  <w:style w:type="paragraph" w:customStyle="1" w:styleId="Caption1">
    <w:name w:val="Caption1"/>
    <w:basedOn w:val="Normal"/>
    <w:autoRedefine/>
    <w:rsid w:val="008E3599"/>
    <w:pPr>
      <w:spacing w:line="360" w:lineRule="auto"/>
      <w:ind w:right="-29"/>
      <w:jc w:val="center"/>
    </w:pPr>
    <w:rPr>
      <w:rFonts w:eastAsia="Calibri"/>
      <w:b/>
      <w:bCs/>
      <w:color w:val="000000"/>
      <w:sz w:val="20"/>
      <w:szCs w:val="20"/>
    </w:rPr>
  </w:style>
  <w:style w:type="paragraph" w:customStyle="1" w:styleId="292">
    <w:name w:val="292"/>
    <w:rsid w:val="008E3599"/>
    <w:rPr>
      <w:rFonts w:ascii="NikoshBAN" w:eastAsia="Calibri" w:hAnsi="NikoshBAN" w:cs="NikoshBAN"/>
    </w:rPr>
  </w:style>
  <w:style w:type="paragraph" w:customStyle="1" w:styleId="35">
    <w:name w:val="35"/>
    <w:rsid w:val="008E3599"/>
    <w:rPr>
      <w:rFonts w:ascii="NikoshBAN" w:eastAsia="Calibri" w:hAnsi="NikoshBAN" w:cs="NikoshBAN"/>
    </w:rPr>
  </w:style>
  <w:style w:type="paragraph" w:customStyle="1" w:styleId="34">
    <w:name w:val="34"/>
    <w:rsid w:val="008E3599"/>
    <w:rPr>
      <w:rFonts w:ascii="NikoshBAN" w:eastAsia="Calibri" w:hAnsi="NikoshBAN" w:cs="NikoshBAN"/>
    </w:rPr>
  </w:style>
  <w:style w:type="paragraph" w:customStyle="1" w:styleId="xl73">
    <w:name w:val="xl73"/>
    <w:basedOn w:val="Normal"/>
    <w:rsid w:val="008E3599"/>
    <w:pPr>
      <w:spacing w:before="100" w:beforeAutospacing="1" w:after="100" w:afterAutospacing="1"/>
      <w:jc w:val="both"/>
    </w:pPr>
    <w:rPr>
      <w:rFonts w:ascii="Arial" w:eastAsia="Calibri" w:hAnsi="Arial" w:cs="Arial"/>
      <w:sz w:val="20"/>
      <w:szCs w:val="20"/>
    </w:rPr>
  </w:style>
  <w:style w:type="paragraph" w:customStyle="1" w:styleId="xl74">
    <w:name w:val="xl74"/>
    <w:basedOn w:val="Normal"/>
    <w:rsid w:val="008E3599"/>
    <w:pPr>
      <w:spacing w:before="100" w:beforeAutospacing="1" w:after="100" w:afterAutospacing="1"/>
      <w:jc w:val="both"/>
    </w:pPr>
    <w:rPr>
      <w:rFonts w:ascii="Arial" w:eastAsia="Calibri" w:hAnsi="Arial" w:cs="Arial"/>
      <w:b/>
      <w:bCs/>
      <w:sz w:val="20"/>
      <w:szCs w:val="20"/>
    </w:rPr>
  </w:style>
  <w:style w:type="paragraph" w:customStyle="1" w:styleId="xl78">
    <w:name w:val="xl78"/>
    <w:basedOn w:val="Normal"/>
    <w:rsid w:val="008E3599"/>
    <w:pPr>
      <w:spacing w:before="100" w:beforeAutospacing="1" w:after="100" w:afterAutospacing="1"/>
      <w:jc w:val="center"/>
    </w:pPr>
    <w:rPr>
      <w:rFonts w:ascii="Arial" w:eastAsia="Calibri" w:hAnsi="Arial" w:cs="Arial"/>
      <w:sz w:val="20"/>
      <w:szCs w:val="20"/>
    </w:rPr>
  </w:style>
  <w:style w:type="paragraph" w:customStyle="1" w:styleId="Caption2">
    <w:name w:val="Caption2"/>
    <w:basedOn w:val="Caption1"/>
    <w:autoRedefine/>
    <w:rsid w:val="008E3599"/>
    <w:pPr>
      <w:jc w:val="left"/>
    </w:pPr>
    <w:rPr>
      <w:color w:val="auto"/>
    </w:rPr>
  </w:style>
  <w:style w:type="paragraph" w:customStyle="1" w:styleId="146">
    <w:name w:val="146"/>
    <w:rsid w:val="008E3599"/>
    <w:rPr>
      <w:rFonts w:ascii="NikoshBAN" w:eastAsia="Calibri" w:hAnsi="NikoshBAN" w:cs="NikoshBAN"/>
    </w:rPr>
  </w:style>
  <w:style w:type="paragraph" w:customStyle="1" w:styleId="33">
    <w:name w:val="33"/>
    <w:rsid w:val="008E3599"/>
    <w:rPr>
      <w:rFonts w:ascii="NikoshBAN" w:eastAsia="Calibri" w:hAnsi="NikoshBAN" w:cs="NikoshBAN"/>
    </w:rPr>
  </w:style>
  <w:style w:type="paragraph" w:customStyle="1" w:styleId="32">
    <w:name w:val="32"/>
    <w:rsid w:val="008E3599"/>
    <w:rPr>
      <w:rFonts w:ascii="NikoshBAN" w:eastAsia="Calibri" w:hAnsi="NikoshBAN" w:cs="NikoshBAN"/>
    </w:rPr>
  </w:style>
  <w:style w:type="paragraph" w:customStyle="1" w:styleId="LightShading-Accent11">
    <w:name w:val="Light Shading - Accent 11"/>
    <w:rsid w:val="008E3599"/>
    <w:rPr>
      <w:rFonts w:ascii="NikoshBAN" w:eastAsia="Calibri" w:hAnsi="NikoshBAN" w:cs="NikoshBAN"/>
    </w:rPr>
  </w:style>
  <w:style w:type="paragraph" w:customStyle="1" w:styleId="31">
    <w:name w:val="31"/>
    <w:rsid w:val="008E3599"/>
    <w:rPr>
      <w:rFonts w:ascii="Calibri" w:eastAsia="Calibri" w:hAnsi="Calibri" w:cs="Calibri"/>
    </w:rPr>
  </w:style>
  <w:style w:type="paragraph" w:customStyle="1" w:styleId="font5">
    <w:name w:val="font5"/>
    <w:basedOn w:val="Normal"/>
    <w:rsid w:val="008E3599"/>
    <w:pPr>
      <w:spacing w:before="100" w:beforeAutospacing="1" w:after="100" w:afterAutospacing="1"/>
    </w:pPr>
    <w:rPr>
      <w:rFonts w:ascii="Nikosh" w:eastAsia="Calibri" w:hAnsi="Nikosh" w:cs="Nikosh"/>
      <w:b/>
      <w:bCs/>
      <w:color w:val="0070C0"/>
      <w:sz w:val="20"/>
      <w:szCs w:val="20"/>
    </w:rPr>
  </w:style>
  <w:style w:type="paragraph" w:customStyle="1" w:styleId="font6">
    <w:name w:val="font6"/>
    <w:basedOn w:val="Normal"/>
    <w:rsid w:val="008E3599"/>
    <w:pPr>
      <w:spacing w:before="100" w:beforeAutospacing="1" w:after="100" w:afterAutospacing="1"/>
    </w:pPr>
    <w:rPr>
      <w:rFonts w:eastAsia="Calibri"/>
      <w:b/>
      <w:bCs/>
      <w:color w:val="0070C0"/>
      <w:sz w:val="20"/>
      <w:szCs w:val="20"/>
    </w:rPr>
  </w:style>
  <w:style w:type="paragraph" w:customStyle="1" w:styleId="font7">
    <w:name w:val="font7"/>
    <w:basedOn w:val="Normal"/>
    <w:rsid w:val="008E3599"/>
    <w:pPr>
      <w:spacing w:before="100" w:beforeAutospacing="1" w:after="100" w:afterAutospacing="1"/>
    </w:pPr>
    <w:rPr>
      <w:rFonts w:ascii="Nikosh" w:eastAsia="Calibri" w:hAnsi="Nikosh" w:cs="Nikosh"/>
      <w:b/>
      <w:bCs/>
      <w:color w:val="000000"/>
      <w:sz w:val="20"/>
      <w:szCs w:val="20"/>
    </w:rPr>
  </w:style>
  <w:style w:type="paragraph" w:customStyle="1" w:styleId="font8">
    <w:name w:val="font8"/>
    <w:basedOn w:val="Normal"/>
    <w:rsid w:val="008E3599"/>
    <w:pPr>
      <w:spacing w:before="100" w:beforeAutospacing="1" w:after="100" w:afterAutospacing="1"/>
    </w:pPr>
    <w:rPr>
      <w:rFonts w:ascii="Nikosh" w:eastAsia="Calibri" w:hAnsi="Nikosh" w:cs="Nikosh"/>
      <w:b/>
      <w:bCs/>
      <w:color w:val="000000"/>
      <w:sz w:val="18"/>
      <w:szCs w:val="18"/>
    </w:rPr>
  </w:style>
  <w:style w:type="paragraph" w:customStyle="1" w:styleId="font9">
    <w:name w:val="font9"/>
    <w:basedOn w:val="Normal"/>
    <w:rsid w:val="008E3599"/>
    <w:pPr>
      <w:spacing w:before="100" w:beforeAutospacing="1" w:after="100" w:afterAutospacing="1"/>
    </w:pPr>
    <w:rPr>
      <w:rFonts w:ascii="Nikosh" w:eastAsia="Calibri" w:hAnsi="Nikosh" w:cs="Nikosh"/>
      <w:b/>
      <w:bCs/>
      <w:color w:val="0070C0"/>
      <w:sz w:val="16"/>
      <w:szCs w:val="16"/>
    </w:rPr>
  </w:style>
  <w:style w:type="paragraph" w:customStyle="1" w:styleId="font10">
    <w:name w:val="font10"/>
    <w:basedOn w:val="Normal"/>
    <w:rsid w:val="008E3599"/>
    <w:pPr>
      <w:spacing w:before="100" w:beforeAutospacing="1" w:after="100" w:afterAutospacing="1"/>
    </w:pPr>
    <w:rPr>
      <w:rFonts w:eastAsia="Calibri"/>
      <w:b/>
      <w:bCs/>
      <w:color w:val="0070C0"/>
      <w:sz w:val="18"/>
      <w:szCs w:val="18"/>
    </w:rPr>
  </w:style>
  <w:style w:type="paragraph" w:customStyle="1" w:styleId="font11">
    <w:name w:val="font11"/>
    <w:basedOn w:val="Normal"/>
    <w:rsid w:val="008E3599"/>
    <w:pPr>
      <w:spacing w:before="100" w:beforeAutospacing="1" w:after="100" w:afterAutospacing="1"/>
    </w:pPr>
    <w:rPr>
      <w:rFonts w:ascii="Nikosh" w:eastAsia="Calibri" w:hAnsi="Nikosh" w:cs="Nikosh"/>
      <w:b/>
      <w:bCs/>
      <w:color w:val="000000"/>
      <w:sz w:val="16"/>
      <w:szCs w:val="16"/>
    </w:rPr>
  </w:style>
  <w:style w:type="paragraph" w:customStyle="1" w:styleId="font12">
    <w:name w:val="font12"/>
    <w:basedOn w:val="Normal"/>
    <w:rsid w:val="008E3599"/>
    <w:pPr>
      <w:spacing w:before="100" w:beforeAutospacing="1" w:after="100" w:afterAutospacing="1"/>
    </w:pPr>
    <w:rPr>
      <w:rFonts w:ascii="Nikosh" w:eastAsia="Calibri" w:hAnsi="Nikosh" w:cs="Nikosh"/>
      <w:b/>
      <w:bCs/>
      <w:color w:val="0070C0"/>
      <w:sz w:val="22"/>
      <w:szCs w:val="22"/>
    </w:rPr>
  </w:style>
  <w:style w:type="paragraph" w:customStyle="1" w:styleId="font13">
    <w:name w:val="font13"/>
    <w:basedOn w:val="Normal"/>
    <w:rsid w:val="008E3599"/>
    <w:pPr>
      <w:spacing w:before="100" w:beforeAutospacing="1" w:after="100" w:afterAutospacing="1"/>
    </w:pPr>
    <w:rPr>
      <w:rFonts w:ascii="Nikosh" w:eastAsia="Calibri" w:hAnsi="Nikosh" w:cs="Nikosh"/>
      <w:b/>
      <w:bCs/>
      <w:color w:val="0070C0"/>
      <w:sz w:val="18"/>
      <w:szCs w:val="18"/>
    </w:rPr>
  </w:style>
  <w:style w:type="paragraph" w:customStyle="1" w:styleId="font14">
    <w:name w:val="font14"/>
    <w:basedOn w:val="Normal"/>
    <w:rsid w:val="008E3599"/>
    <w:pPr>
      <w:spacing w:before="100" w:beforeAutospacing="1" w:after="100" w:afterAutospacing="1"/>
    </w:pPr>
    <w:rPr>
      <w:rFonts w:eastAsia="Calibri"/>
      <w:b/>
      <w:bCs/>
      <w:color w:val="0070C0"/>
      <w:sz w:val="22"/>
      <w:szCs w:val="22"/>
    </w:rPr>
  </w:style>
  <w:style w:type="paragraph" w:customStyle="1" w:styleId="xl63">
    <w:name w:val="xl63"/>
    <w:basedOn w:val="Normal"/>
    <w:rsid w:val="008E3599"/>
    <w:pPr>
      <w:pBdr>
        <w:top w:val="single" w:sz="4" w:space="0" w:color="auto"/>
        <w:left w:val="single" w:sz="4" w:space="0" w:color="auto"/>
        <w:bottom w:val="single" w:sz="4" w:space="0" w:color="auto"/>
        <w:right w:val="single" w:sz="4" w:space="0" w:color="auto"/>
      </w:pBdr>
      <w:shd w:val="clear" w:color="auto" w:fill="C0504D"/>
      <w:spacing w:before="100" w:beforeAutospacing="1" w:after="100" w:afterAutospacing="1"/>
    </w:pPr>
    <w:rPr>
      <w:rFonts w:ascii="Nikosh" w:eastAsia="Calibri" w:hAnsi="Nikosh" w:cs="Nikosh"/>
      <w:b/>
      <w:bCs/>
      <w:color w:val="FFFFFF"/>
      <w:sz w:val="20"/>
      <w:szCs w:val="20"/>
    </w:rPr>
  </w:style>
  <w:style w:type="paragraph" w:customStyle="1" w:styleId="xl64">
    <w:name w:val="xl6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color w:val="0070C0"/>
      <w:sz w:val="20"/>
      <w:szCs w:val="20"/>
    </w:rPr>
  </w:style>
  <w:style w:type="paragraph" w:customStyle="1" w:styleId="xl65">
    <w:name w:val="xl6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sz w:val="20"/>
      <w:szCs w:val="20"/>
    </w:rPr>
  </w:style>
  <w:style w:type="paragraph" w:customStyle="1" w:styleId="xl66">
    <w:name w:val="xl6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8"/>
      <w:szCs w:val="18"/>
    </w:rPr>
  </w:style>
  <w:style w:type="paragraph" w:customStyle="1" w:styleId="xl67">
    <w:name w:val="xl6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8"/>
      <w:szCs w:val="18"/>
    </w:rPr>
  </w:style>
  <w:style w:type="paragraph" w:customStyle="1" w:styleId="xl68">
    <w:name w:val="xl6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9">
    <w:name w:val="xl6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z w:val="18"/>
      <w:szCs w:val="18"/>
    </w:rPr>
  </w:style>
  <w:style w:type="paragraph" w:customStyle="1" w:styleId="xl70">
    <w:name w:val="xl7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b/>
      <w:bCs/>
    </w:rPr>
  </w:style>
  <w:style w:type="paragraph" w:customStyle="1" w:styleId="xl71">
    <w:name w:val="xl7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b/>
      <w:bCs/>
      <w:color w:val="0070C0"/>
      <w:sz w:val="20"/>
      <w:szCs w:val="20"/>
    </w:rPr>
  </w:style>
  <w:style w:type="paragraph" w:customStyle="1" w:styleId="xl72">
    <w:name w:val="xl7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16"/>
      <w:szCs w:val="16"/>
    </w:rPr>
  </w:style>
  <w:style w:type="paragraph" w:customStyle="1" w:styleId="xl75">
    <w:name w:val="xl7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FF0000"/>
      <w:sz w:val="20"/>
      <w:szCs w:val="20"/>
    </w:rPr>
  </w:style>
  <w:style w:type="paragraph" w:customStyle="1" w:styleId="xl76">
    <w:name w:val="xl7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FF0000"/>
      <w:sz w:val="20"/>
      <w:szCs w:val="20"/>
    </w:rPr>
  </w:style>
  <w:style w:type="paragraph" w:customStyle="1" w:styleId="xl77">
    <w:name w:val="xl7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79">
    <w:name w:val="xl7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color w:val="0070C0"/>
      <w:sz w:val="20"/>
      <w:szCs w:val="20"/>
    </w:rPr>
  </w:style>
  <w:style w:type="paragraph" w:customStyle="1" w:styleId="xl80">
    <w:name w:val="xl8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1">
    <w:name w:val="xl8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2">
    <w:name w:val="xl82"/>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3">
    <w:name w:val="xl83"/>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4">
    <w:name w:val="xl84"/>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Nikosh" w:eastAsia="Calibri" w:hAnsi="Nikosh" w:cs="Nikosh"/>
      <w:sz w:val="20"/>
      <w:szCs w:val="20"/>
    </w:rPr>
  </w:style>
  <w:style w:type="paragraph" w:customStyle="1" w:styleId="xl85">
    <w:name w:val="xl85"/>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20"/>
      <w:szCs w:val="20"/>
    </w:rPr>
  </w:style>
  <w:style w:type="paragraph" w:customStyle="1" w:styleId="xl86">
    <w:name w:val="xl86"/>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0000"/>
      <w:sz w:val="20"/>
      <w:szCs w:val="20"/>
    </w:rPr>
  </w:style>
  <w:style w:type="paragraph" w:customStyle="1" w:styleId="xl87">
    <w:name w:val="xl87"/>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sz w:val="20"/>
      <w:szCs w:val="20"/>
    </w:rPr>
  </w:style>
  <w:style w:type="paragraph" w:customStyle="1" w:styleId="xl88">
    <w:name w:val="xl88"/>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Vrinda" w:eastAsia="Calibri" w:hAnsi="Vrinda" w:cs="Vrinda"/>
      <w:color w:val="0070C0"/>
      <w:sz w:val="20"/>
      <w:szCs w:val="20"/>
    </w:rPr>
  </w:style>
  <w:style w:type="paragraph" w:customStyle="1" w:styleId="xl89">
    <w:name w:val="xl89"/>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Nikosh" w:eastAsia="Calibri" w:hAnsi="Nikosh" w:cs="Nikosh"/>
      <w:color w:val="0070C0"/>
    </w:rPr>
  </w:style>
  <w:style w:type="paragraph" w:customStyle="1" w:styleId="xl90">
    <w:name w:val="xl90"/>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color w:val="0070C0"/>
    </w:rPr>
  </w:style>
  <w:style w:type="paragraph" w:customStyle="1" w:styleId="xl91">
    <w:name w:val="xl91"/>
    <w:basedOn w:val="Normal"/>
    <w:rsid w:val="008E3599"/>
    <w:pPr>
      <w:pBdr>
        <w:top w:val="single" w:sz="4" w:space="0" w:color="auto"/>
        <w:left w:val="single" w:sz="4" w:space="0" w:color="auto"/>
        <w:bottom w:val="single" w:sz="4" w:space="0" w:color="auto"/>
        <w:right w:val="single" w:sz="4" w:space="0" w:color="auto"/>
      </w:pBdr>
      <w:spacing w:before="100" w:beforeAutospacing="1" w:after="100" w:afterAutospacing="1"/>
    </w:pPr>
    <w:rPr>
      <w:rFonts w:ascii="Nikosh" w:eastAsia="Calibri" w:hAnsi="Nikosh" w:cs="Nikosh"/>
      <w:sz w:val="16"/>
      <w:szCs w:val="16"/>
    </w:rPr>
  </w:style>
  <w:style w:type="character" w:customStyle="1" w:styleId="ref-journal">
    <w:name w:val="ref-journal"/>
    <w:basedOn w:val="DefaultParagraphFont"/>
    <w:rsid w:val="008E3599"/>
    <w:rPr>
      <w:rFonts w:cs="Times New Roman"/>
    </w:rPr>
  </w:style>
  <w:style w:type="character" w:customStyle="1" w:styleId="ref-vol">
    <w:name w:val="ref-vol"/>
    <w:basedOn w:val="DefaultParagraphFont"/>
    <w:rsid w:val="008E3599"/>
    <w:rPr>
      <w:rFonts w:cs="Times New Roman"/>
    </w:rPr>
  </w:style>
  <w:style w:type="character" w:customStyle="1" w:styleId="nowrap">
    <w:name w:val="nowrap"/>
    <w:basedOn w:val="DefaultParagraphFont"/>
    <w:rsid w:val="008E3599"/>
    <w:rPr>
      <w:rFonts w:cs="Times New Roman"/>
    </w:rPr>
  </w:style>
  <w:style w:type="character" w:customStyle="1" w:styleId="element-citation">
    <w:name w:val="element-citation"/>
    <w:basedOn w:val="DefaultParagraphFont"/>
    <w:rsid w:val="008E3599"/>
    <w:rPr>
      <w:rFonts w:cs="Times New Roman"/>
    </w:rPr>
  </w:style>
  <w:style w:type="character" w:customStyle="1" w:styleId="mjx-char">
    <w:name w:val="mjx-char"/>
    <w:basedOn w:val="DefaultParagraphFont"/>
    <w:rsid w:val="008E3599"/>
    <w:rPr>
      <w:rFonts w:cs="Times New Roman"/>
    </w:rPr>
  </w:style>
  <w:style w:type="character" w:customStyle="1" w:styleId="nd-word">
    <w:name w:val="nd-word"/>
    <w:basedOn w:val="DefaultParagraphFont"/>
    <w:rsid w:val="008E3599"/>
    <w:rPr>
      <w:rFonts w:cs="Times New Roman"/>
    </w:rPr>
  </w:style>
  <w:style w:type="character" w:customStyle="1" w:styleId="box">
    <w:name w:val="box"/>
    <w:basedOn w:val="DefaultParagraphFont"/>
    <w:rsid w:val="008E3599"/>
    <w:rPr>
      <w:rFonts w:cs="Times New Roman"/>
    </w:rPr>
  </w:style>
  <w:style w:type="character" w:customStyle="1" w:styleId="code">
    <w:name w:val="code"/>
    <w:basedOn w:val="DefaultParagraphFont"/>
    <w:rsid w:val="008E3599"/>
    <w:rPr>
      <w:rFonts w:cs="Times New Roman"/>
    </w:rPr>
  </w:style>
  <w:style w:type="character" w:customStyle="1" w:styleId="muitypography-root">
    <w:name w:val="muitypography-root"/>
    <w:basedOn w:val="DefaultParagraphFont"/>
    <w:rsid w:val="008E3599"/>
    <w:rPr>
      <w:rFonts w:cs="Times New Roman"/>
    </w:rPr>
  </w:style>
  <w:style w:type="character" w:customStyle="1" w:styleId="CommentSubjectChar1">
    <w:name w:val="Comment Subject Char1"/>
    <w:basedOn w:val="CommentTextChar"/>
    <w:semiHidden/>
    <w:locked/>
    <w:rsid w:val="008E3599"/>
    <w:rPr>
      <w:rFonts w:cs="Times New Roman"/>
      <w:b/>
      <w:bCs/>
      <w:sz w:val="25"/>
      <w:szCs w:val="25"/>
    </w:rPr>
  </w:style>
  <w:style w:type="character" w:customStyle="1" w:styleId="yiv5083162645yshortcuts">
    <w:name w:val="yiv5083162645yshortcuts"/>
    <w:basedOn w:val="DefaultParagraphFont"/>
    <w:rsid w:val="008E3599"/>
    <w:rPr>
      <w:rFonts w:cs="Times New Roman"/>
    </w:rPr>
  </w:style>
  <w:style w:type="character" w:customStyle="1" w:styleId="FootnoteTextChar1">
    <w:name w:val="Footnote Text Char1"/>
    <w:basedOn w:val="DefaultParagraphFont"/>
    <w:link w:val="FootnoteText"/>
    <w:semiHidden/>
    <w:locked/>
    <w:rsid w:val="008E3599"/>
  </w:style>
  <w:style w:type="character" w:customStyle="1" w:styleId="bd1">
    <w:name w:val="bd1"/>
    <w:basedOn w:val="DefaultParagraphFont"/>
    <w:rsid w:val="008E3599"/>
    <w:rPr>
      <w:rFonts w:ascii="Verdana" w:hAnsi="Verdana" w:cs="Verdana"/>
      <w:sz w:val="13"/>
      <w:szCs w:val="13"/>
    </w:rPr>
  </w:style>
  <w:style w:type="character" w:customStyle="1" w:styleId="A6">
    <w:name w:val="A6"/>
    <w:rsid w:val="008E3599"/>
    <w:rPr>
      <w:color w:val="000000"/>
      <w:u w:val="single"/>
    </w:rPr>
  </w:style>
  <w:style w:type="character" w:customStyle="1" w:styleId="A9">
    <w:name w:val="A9"/>
    <w:rsid w:val="008E3599"/>
    <w:rPr>
      <w:rFonts w:ascii="Raleway" w:hAnsi="Raleway"/>
      <w:color w:val="000000"/>
      <w:sz w:val="12"/>
    </w:rPr>
  </w:style>
  <w:style w:type="character" w:customStyle="1" w:styleId="tlid-translation">
    <w:name w:val="tlid-translation"/>
    <w:basedOn w:val="DefaultParagraphFont"/>
    <w:rsid w:val="008E3599"/>
    <w:rPr>
      <w:rFonts w:cs="Times New Roman"/>
    </w:rPr>
  </w:style>
  <w:style w:type="character" w:customStyle="1" w:styleId="FooterChar31">
    <w:name w:val="Footer Char31"/>
    <w:aliases w:val="Char Char22,Char Char32,Char Char221"/>
    <w:locked/>
    <w:rsid w:val="008E3599"/>
    <w:rPr>
      <w:rFonts w:ascii="Times New Roman" w:hAnsi="Times New Roman"/>
      <w:sz w:val="24"/>
    </w:rPr>
  </w:style>
  <w:style w:type="character" w:customStyle="1" w:styleId="st">
    <w:name w:val="st"/>
    <w:rsid w:val="008E3599"/>
  </w:style>
  <w:style w:type="character" w:customStyle="1" w:styleId="FooterChar2">
    <w:name w:val="Footer Char2"/>
    <w:aliases w:val="Char Char11"/>
    <w:locked/>
    <w:rsid w:val="008E3599"/>
    <w:rPr>
      <w:rFonts w:ascii="Times New Roman" w:hAnsi="Times New Roman"/>
      <w:sz w:val="24"/>
    </w:rPr>
  </w:style>
  <w:style w:type="character" w:customStyle="1" w:styleId="CommentTextChar1">
    <w:name w:val="Comment Text Char1"/>
    <w:semiHidden/>
    <w:rsid w:val="008E3599"/>
    <w:rPr>
      <w:sz w:val="20"/>
    </w:rPr>
  </w:style>
  <w:style w:type="character" w:customStyle="1" w:styleId="hps">
    <w:name w:val="hps"/>
    <w:rsid w:val="008E3599"/>
  </w:style>
  <w:style w:type="character" w:customStyle="1" w:styleId="atn">
    <w:name w:val="atn"/>
    <w:rsid w:val="008E3599"/>
  </w:style>
  <w:style w:type="character" w:customStyle="1" w:styleId="Heading2Char1">
    <w:name w:val="Heading 2 Char1"/>
    <w:locked/>
    <w:rsid w:val="008E3599"/>
    <w:rPr>
      <w:rFonts w:ascii="Times New Roman" w:hAnsi="Times New Roman"/>
      <w:b/>
      <w:color w:val="0070C0"/>
      <w:sz w:val="32"/>
    </w:rPr>
  </w:style>
  <w:style w:type="character" w:customStyle="1" w:styleId="shorttext">
    <w:name w:val="short_text"/>
    <w:rsid w:val="008E3599"/>
  </w:style>
  <w:style w:type="table" w:styleId="TableSimple1">
    <w:name w:val="Table Simple 1"/>
    <w:basedOn w:val="TableNormal"/>
    <w:rsid w:val="008E3599"/>
    <w:pPr>
      <w:spacing w:after="200" w:line="276" w:lineRule="auto"/>
    </w:pPr>
    <w:rPr>
      <w:rFonts w:ascii="Calibri" w:hAnsi="Calibri" w:cs="Calibri"/>
    </w:rPr>
    <w:tblPr>
      <w:tblBorders>
        <w:top w:val="single" w:sz="12" w:space="0" w:color="008000"/>
        <w:bottom w:val="single" w:sz="12" w:space="0" w:color="008000"/>
      </w:tblBorders>
    </w:tblPr>
    <w:tblStylePr w:type="firstRow">
      <w:rPr>
        <w:rFonts w:cs="Calibri Light"/>
      </w:rPr>
      <w:tblPr/>
      <w:tcPr>
        <w:tcBorders>
          <w:bottom w:val="single" w:sz="6" w:space="0" w:color="008000"/>
          <w:tl2br w:val="none" w:sz="0" w:space="0" w:color="auto"/>
          <w:tr2bl w:val="none" w:sz="0" w:space="0" w:color="auto"/>
        </w:tcBorders>
      </w:tcPr>
    </w:tblStylePr>
    <w:tblStylePr w:type="lastRow">
      <w:rPr>
        <w:rFonts w:cs="Calibri Light"/>
      </w:rPr>
      <w:tblPr/>
      <w:tcPr>
        <w:tcBorders>
          <w:top w:val="single" w:sz="6" w:space="0" w:color="008000"/>
          <w:tl2br w:val="none" w:sz="0" w:space="0" w:color="auto"/>
          <w:tr2bl w:val="none" w:sz="0" w:space="0" w:color="auto"/>
        </w:tcBorders>
      </w:tcPr>
    </w:tblStylePr>
  </w:style>
  <w:style w:type="table" w:styleId="TableGrid5">
    <w:name w:val="Table Grid 5"/>
    <w:basedOn w:val="TableNormal"/>
    <w:rsid w:val="008E3599"/>
    <w:pPr>
      <w:spacing w:after="200" w:line="276" w:lineRule="auto"/>
    </w:pPr>
    <w:rPr>
      <w:rFonts w:ascii="Calibri" w:eastAsia="Calibri" w:hAnsi="Calibri" w:cs="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libri Light"/>
      </w:rPr>
      <w:tblPr/>
      <w:tcPr>
        <w:tcBorders>
          <w:bottom w:val="single" w:sz="12" w:space="0" w:color="000000"/>
          <w:tl2br w:val="none" w:sz="0" w:space="0" w:color="auto"/>
          <w:tr2bl w:val="none" w:sz="0" w:space="0" w:color="auto"/>
        </w:tcBorders>
      </w:tcPr>
    </w:tblStylePr>
    <w:tblStylePr w:type="lastRow">
      <w:rPr>
        <w:rFonts w:cs="Calibri Light"/>
        <w:b/>
        <w:bCs/>
      </w:rPr>
      <w:tblPr/>
      <w:tcPr>
        <w:tcBorders>
          <w:tl2br w:val="none" w:sz="0" w:space="0" w:color="auto"/>
          <w:tr2bl w:val="none" w:sz="0" w:space="0" w:color="auto"/>
        </w:tcBorders>
      </w:tcPr>
    </w:tblStylePr>
    <w:tblStylePr w:type="lastCol">
      <w:rPr>
        <w:rFonts w:cs="Calibri Light"/>
        <w:b/>
        <w:bCs/>
      </w:rPr>
      <w:tblPr/>
      <w:tcPr>
        <w:tcBorders>
          <w:tl2br w:val="none" w:sz="0" w:space="0" w:color="auto"/>
          <w:tr2bl w:val="none" w:sz="0" w:space="0" w:color="auto"/>
        </w:tcBorders>
      </w:tcPr>
    </w:tblStylePr>
    <w:tblStylePr w:type="nwCell">
      <w:rPr>
        <w:rFonts w:cs="Calibri Light"/>
      </w:rPr>
      <w:tblPr/>
      <w:tcPr>
        <w:tcBorders>
          <w:tl2br w:val="single" w:sz="6" w:space="0" w:color="000000"/>
          <w:tr2bl w:val="none" w:sz="0" w:space="0" w:color="auto"/>
        </w:tcBorders>
      </w:tcPr>
    </w:tblStylePr>
  </w:style>
  <w:style w:type="table" w:styleId="TableGrid8">
    <w:name w:val="Table Grid 8"/>
    <w:basedOn w:val="TableNormal"/>
    <w:rsid w:val="008E3599"/>
    <w:rPr>
      <w:rFonts w:ascii="Calibri" w:eastAsia="Calibri" w:hAnsi="Calibri" w:cs="Calibri"/>
      <w:b/>
      <w:bC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Vrinda" w:hAnsi="Vrinda" w:cs="Vrinda"/>
        <w:b/>
        <w:bCs/>
        <w:color w:val="FFFFFF"/>
      </w:rPr>
      <w:tblPr/>
      <w:tcPr>
        <w:tcBorders>
          <w:tl2br w:val="none" w:sz="0" w:space="0" w:color="auto"/>
          <w:tr2bl w:val="none" w:sz="0" w:space="0" w:color="auto"/>
        </w:tcBorders>
        <w:shd w:val="solid" w:color="000080" w:fill="FFFFFF"/>
      </w:tcPr>
    </w:tblStylePr>
    <w:tblStylePr w:type="lastRow">
      <w:rPr>
        <w:rFonts w:ascii="Vrinda" w:hAnsi="Vrinda" w:cs="Vrinda"/>
        <w:b/>
        <w:bCs/>
        <w:color w:val="auto"/>
      </w:rPr>
      <w:tblPr/>
      <w:tcPr>
        <w:tcBorders>
          <w:tl2br w:val="none" w:sz="0" w:space="0" w:color="auto"/>
          <w:tr2bl w:val="none" w:sz="0" w:space="0" w:color="auto"/>
        </w:tcBorders>
      </w:tcPr>
    </w:tblStylePr>
    <w:tblStylePr w:type="lastCol">
      <w:rPr>
        <w:rFonts w:ascii="Vrinda" w:hAnsi="Vrinda" w:cs="Vrinda"/>
        <w:b/>
        <w:bCs/>
        <w:color w:val="auto"/>
      </w:rPr>
      <w:tblPr/>
      <w:tcPr>
        <w:tcBorders>
          <w:tl2br w:val="none" w:sz="0" w:space="0" w:color="auto"/>
          <w:tr2bl w:val="none" w:sz="0" w:space="0" w:color="auto"/>
        </w:tcBorders>
      </w:tcPr>
    </w:tblStylePr>
  </w:style>
  <w:style w:type="table" w:styleId="TableWeb3">
    <w:name w:val="Table Web 3"/>
    <w:basedOn w:val="TableNormal"/>
    <w:rsid w:val="008E3599"/>
    <w:pPr>
      <w:spacing w:before="120" w:after="120" w:line="276" w:lineRule="auto"/>
      <w:jc w:val="both"/>
    </w:pPr>
    <w:rPr>
      <w:rFonts w:ascii="Calibri" w:eastAsia="Calibri" w:hAnsi="Calibri" w:cs="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libri Light"/>
        <w:color w:val="auto"/>
      </w:rPr>
      <w:tblPr/>
      <w:tcPr>
        <w:tcBorders>
          <w:tl2br w:val="none" w:sz="0" w:space="0" w:color="auto"/>
          <w:tr2bl w:val="none" w:sz="0" w:space="0" w:color="auto"/>
        </w:tcBorders>
      </w:tcPr>
    </w:tblStylePr>
  </w:style>
  <w:style w:type="table" w:customStyle="1" w:styleId="LightShading1">
    <w:name w:val="Light Shading1"/>
    <w:rsid w:val="008E3599"/>
    <w:rPr>
      <w:rFonts w:ascii="Calibri" w:eastAsia="Calibri" w:hAnsi="Calibri" w:cs="Calibri"/>
      <w:color w:val="000000"/>
      <w:lang w:val="en-SG" w:eastAsia="en-SG" w:bidi="bn-BD"/>
    </w:rPr>
    <w:tblPr>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000000"/>
          <w:left w:val="nil"/>
          <w:bottom w:val="single" w:sz="8" w:space="0" w:color="000000"/>
          <w:right w:val="nil"/>
          <w:insideH w:val="nil"/>
          <w:insideV w:val="nil"/>
        </w:tcBorders>
      </w:tcPr>
    </w:tblStylePr>
    <w:tblStylePr w:type="firstCol">
      <w:rPr>
        <w:rFonts w:cs="Calibri Light"/>
        <w:b/>
        <w:bCs/>
      </w:rPr>
    </w:tblStylePr>
    <w:tblStylePr w:type="lastCol">
      <w:rPr>
        <w:rFonts w:cs="Calibri Light"/>
        <w:b/>
        <w:bCs/>
      </w:rPr>
    </w:tblStylePr>
  </w:style>
  <w:style w:type="table" w:customStyle="1" w:styleId="LightShading-Accent21">
    <w:name w:val="Light Shading - Accent 21"/>
    <w:rsid w:val="008E3599"/>
    <w:rPr>
      <w:rFonts w:ascii="Calibri" w:hAnsi="Calibri" w:cs="Calibri"/>
      <w:color w:val="943634"/>
      <w:lang w:val="en-SG" w:eastAsia="en-SG" w:bidi="bn-BD"/>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C0504D"/>
          <w:left w:val="nil"/>
          <w:bottom w:val="single" w:sz="8" w:space="0" w:color="C0504D"/>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FD3D2"/>
      </w:tcPr>
    </w:tblStylePr>
    <w:tblStylePr w:type="band1Horz">
      <w:rPr>
        <w:rFonts w:cs="Calibri Light"/>
      </w:rPr>
      <w:tblPr/>
      <w:tcPr>
        <w:tcBorders>
          <w:left w:val="nil"/>
          <w:right w:val="nil"/>
          <w:insideH w:val="nil"/>
          <w:insideV w:val="nil"/>
        </w:tcBorders>
        <w:shd w:val="clear" w:color="auto" w:fill="EFD3D2"/>
      </w:tcPr>
    </w:tblStylePr>
  </w:style>
  <w:style w:type="table" w:customStyle="1" w:styleId="LightList-Accent21">
    <w:name w:val="Light List - Accent 21"/>
    <w:rsid w:val="008E3599"/>
    <w:rPr>
      <w:rFonts w:eastAsia="Calibri"/>
      <w:b/>
      <w:bCs/>
      <w:lang w:val="en-SG" w:eastAsia="en-SG" w:bidi="bn-BD"/>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shd w:val="clear" w:color="auto" w:fill="C0504D"/>
      </w:tcPr>
    </w:tblStylePr>
    <w:tblStylePr w:type="lastRow">
      <w:pPr>
        <w:spacing w:beforeLines="0" w:beforeAutospacing="0" w:afterLines="0" w:afterAutospacing="0"/>
      </w:pPr>
      <w:rPr>
        <w:rFonts w:ascii="Times New Roman" w:hAnsi="Times New Roman"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ascii="Times New Roman" w:hAnsi="Times New Roman"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Shading-Accent31">
    <w:name w:val="Light Shading - Accent 31"/>
    <w:rsid w:val="008E3599"/>
    <w:rPr>
      <w:rFonts w:ascii="Calibri" w:hAnsi="Calibri" w:cs="Calibri"/>
      <w:color w:val="76923C"/>
      <w:lang w:val="en-SG" w:eastAsia="en-SG" w:bidi="bn-BD"/>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9BBB59"/>
          <w:left w:val="nil"/>
          <w:bottom w:val="single" w:sz="8" w:space="0" w:color="9BBB59"/>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E6EED5"/>
      </w:tcPr>
    </w:tblStylePr>
    <w:tblStylePr w:type="band1Horz">
      <w:rPr>
        <w:rFonts w:cs="Calibri Light"/>
      </w:rPr>
      <w:tblPr/>
      <w:tcPr>
        <w:tcBorders>
          <w:left w:val="nil"/>
          <w:right w:val="nil"/>
          <w:insideH w:val="nil"/>
          <w:insideV w:val="nil"/>
        </w:tcBorders>
        <w:shd w:val="clear" w:color="auto" w:fill="E6EED5"/>
      </w:tcPr>
    </w:tblStylePr>
  </w:style>
  <w:style w:type="table" w:customStyle="1" w:styleId="LightList-Accent31">
    <w:name w:val="Light List - Accent 31"/>
    <w:rsid w:val="008E3599"/>
    <w:rPr>
      <w:rFonts w:ascii="Calibri" w:hAnsi="Calibri" w:cs="Calibri"/>
      <w:lang w:val="en-SG" w:eastAsia="en-SG" w:bidi="bn-BD"/>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shd w:val="clear" w:color="auto" w:fill="9BBB59"/>
      </w:tcPr>
    </w:tblStylePr>
    <w:tblStylePr w:type="lastRow">
      <w:pPr>
        <w:spacing w:beforeLines="0" w:beforeAutospacing="0" w:afterLines="0" w:afterAutospacing="0"/>
      </w:pPr>
      <w:rPr>
        <w:rFonts w:cs="Calibri Ligh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Light"/>
        <w:b/>
        <w:bCs/>
      </w:rPr>
    </w:tblStylePr>
    <w:tblStylePr w:type="lastCol">
      <w:rPr>
        <w:rFonts w:cs="Calibri Light"/>
        <w:b/>
        <w:bCs/>
      </w:rPr>
    </w:tblStylePr>
    <w:tblStylePr w:type="band1Vert">
      <w:rPr>
        <w:rFonts w:cs="Calibri Light"/>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Light"/>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1">
    <w:name w:val="Medium Shading 1 - Accent 31"/>
    <w:rsid w:val="008E3599"/>
    <w:rPr>
      <w:rFonts w:ascii="Calibri" w:hAnsi="Calibri" w:cs="Calibri"/>
      <w:lang w:val="en-SG" w:eastAsia="en-SG" w:bidi="bn-BD"/>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pPr>
      <w:rPr>
        <w:rFonts w:cs="Calibri Light"/>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E6EED5"/>
      </w:tcPr>
    </w:tblStylePr>
    <w:tblStylePr w:type="band1Horz">
      <w:rPr>
        <w:rFonts w:cs="Calibri Light"/>
      </w:rPr>
      <w:tblPr/>
      <w:tcPr>
        <w:tcBorders>
          <w:insideH w:val="nil"/>
          <w:insideV w:val="nil"/>
        </w:tcBorders>
        <w:shd w:val="clear" w:color="auto" w:fill="E6EED5"/>
      </w:tcPr>
    </w:tblStylePr>
    <w:tblStylePr w:type="band2Horz">
      <w:rPr>
        <w:rFonts w:cs="Calibri Light"/>
      </w:rPr>
      <w:tblPr/>
      <w:tcPr>
        <w:tcBorders>
          <w:insideH w:val="nil"/>
          <w:insideV w:val="nil"/>
        </w:tcBorders>
      </w:tcPr>
    </w:tblStylePr>
  </w:style>
  <w:style w:type="table" w:customStyle="1" w:styleId="LightShading-Accent41">
    <w:name w:val="Light Shading - Accent 41"/>
    <w:rsid w:val="008E3599"/>
    <w:rPr>
      <w:rFonts w:ascii="Calibri" w:eastAsia="Calibri" w:hAnsi="Calibri" w:cs="Calibri"/>
      <w:b/>
      <w:bCs/>
      <w:color w:val="5F497A"/>
      <w:lang w:val="en-SG" w:eastAsia="en-SG" w:bidi="bn-BD"/>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pPr>
      <w:rPr>
        <w:rFonts w:ascii="Calibri Light" w:hAnsi="Calibri Light" w:cs="Calibri Light"/>
        <w:b/>
        <w:bCs/>
      </w:rPr>
      <w:tblPr/>
      <w:tcPr>
        <w:tcBorders>
          <w:top w:val="single" w:sz="8" w:space="0" w:color="8064A2"/>
          <w:left w:val="nil"/>
          <w:bottom w:val="single" w:sz="8" w:space="0" w:color="8064A2"/>
          <w:right w:val="nil"/>
          <w:insideH w:val="nil"/>
          <w:insideV w:val="nil"/>
        </w:tcBorders>
      </w:tcPr>
    </w:tblStylePr>
    <w:tblStylePr w:type="firstCol">
      <w:rPr>
        <w:rFonts w:ascii="Calibri Light" w:hAnsi="Calibri Light" w:cs="Calibri Light"/>
        <w:b/>
        <w:bCs/>
      </w:rPr>
    </w:tblStylePr>
    <w:tblStylePr w:type="lastCol">
      <w:rPr>
        <w:rFonts w:ascii="Calibri Light" w:hAnsi="Calibri Light" w:cs="Calibri Light"/>
        <w:b/>
        <w:bCs/>
      </w:rPr>
    </w:tblStylePr>
    <w:tblStylePr w:type="band1Vert">
      <w:rPr>
        <w:rFonts w:ascii="Calibri Light" w:hAnsi="Calibri Light" w:cs="Calibri Light"/>
      </w:rPr>
      <w:tblPr/>
      <w:tcPr>
        <w:tcBorders>
          <w:left w:val="nil"/>
          <w:right w:val="nil"/>
          <w:insideH w:val="nil"/>
          <w:insideV w:val="nil"/>
        </w:tcBorders>
        <w:shd w:val="clear" w:color="auto" w:fill="DFD8E8"/>
      </w:tcPr>
    </w:tblStylePr>
    <w:tblStylePr w:type="band1Horz">
      <w:rPr>
        <w:rFonts w:ascii="Calibri Light" w:hAnsi="Calibri Light" w:cs="Calibri Light"/>
      </w:rPr>
      <w:tblPr/>
      <w:tcPr>
        <w:tcBorders>
          <w:left w:val="nil"/>
          <w:right w:val="nil"/>
          <w:insideH w:val="nil"/>
          <w:insideV w:val="nil"/>
        </w:tcBorders>
        <w:shd w:val="clear" w:color="auto" w:fill="DFD8E8"/>
      </w:tcPr>
    </w:tblStylePr>
  </w:style>
  <w:style w:type="table" w:customStyle="1" w:styleId="LightShading-Accent51">
    <w:name w:val="Light Shading - Accent 51"/>
    <w:rsid w:val="008E3599"/>
    <w:rPr>
      <w:rFonts w:ascii="Calibri" w:hAnsi="Calibri" w:cs="Calibri"/>
      <w:color w:val="31849B"/>
      <w:lang w:val="en-SG" w:eastAsia="en-SG" w:bidi="bn-BD"/>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4BACC6"/>
          <w:left w:val="nil"/>
          <w:bottom w:val="single" w:sz="8" w:space="0" w:color="4BACC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D2EAF1"/>
      </w:tcPr>
    </w:tblStylePr>
    <w:tblStylePr w:type="band1Horz">
      <w:rPr>
        <w:rFonts w:cs="Calibri Light"/>
      </w:rPr>
      <w:tblPr/>
      <w:tcPr>
        <w:tcBorders>
          <w:left w:val="nil"/>
          <w:right w:val="nil"/>
          <w:insideH w:val="nil"/>
          <w:insideV w:val="nil"/>
        </w:tcBorders>
        <w:shd w:val="clear" w:color="auto" w:fill="D2EAF1"/>
      </w:tcPr>
    </w:tblStylePr>
  </w:style>
  <w:style w:type="table" w:customStyle="1" w:styleId="MediumShading1-Accent51">
    <w:name w:val="Medium Shading 1 - Accent 51"/>
    <w:rsid w:val="008E3599"/>
    <w:rPr>
      <w:rFonts w:ascii="Calibri" w:hAnsi="Calibri" w:cs="Calibri"/>
      <w:lang w:val="en-SG" w:eastAsia="en-SG" w:bidi="bn-B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pPr>
      <w:rPr>
        <w:rFonts w:cs="Calibri Light"/>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pPr>
      <w:rPr>
        <w:rFonts w:cs="Calibri Light"/>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shd w:val="clear" w:color="auto" w:fill="D2EAF1"/>
      </w:tcPr>
    </w:tblStylePr>
    <w:tblStylePr w:type="band1Horz">
      <w:rPr>
        <w:rFonts w:cs="Calibri Light"/>
      </w:rPr>
      <w:tblPr/>
      <w:tcPr>
        <w:tcBorders>
          <w:insideH w:val="nil"/>
          <w:insideV w:val="nil"/>
        </w:tcBorders>
        <w:shd w:val="clear" w:color="auto" w:fill="D2EAF1"/>
      </w:tcPr>
    </w:tblStylePr>
    <w:tblStylePr w:type="band2Horz">
      <w:rPr>
        <w:rFonts w:cs="Calibri Light"/>
      </w:rPr>
      <w:tblPr/>
      <w:tcPr>
        <w:tcBorders>
          <w:insideH w:val="nil"/>
          <w:insideV w:val="nil"/>
        </w:tcBorders>
      </w:tcPr>
    </w:tblStylePr>
  </w:style>
  <w:style w:type="table" w:customStyle="1" w:styleId="LightShading-Accent61">
    <w:name w:val="Light Shading - Accent 61"/>
    <w:rsid w:val="008E3599"/>
    <w:rPr>
      <w:rFonts w:ascii="Calibri" w:hAnsi="Calibri" w:cs="Calibri"/>
      <w:color w:val="E36C0A"/>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pPr>
      <w:rPr>
        <w:rFonts w:cs="Calibri Light"/>
        <w:b/>
        <w:bCs/>
      </w:rPr>
      <w:tblPr/>
      <w:tcPr>
        <w:tcBorders>
          <w:top w:val="single" w:sz="8" w:space="0" w:color="F79646"/>
          <w:left w:val="nil"/>
          <w:bottom w:val="single" w:sz="8" w:space="0" w:color="F79646"/>
          <w:right w:val="nil"/>
          <w:insideH w:val="nil"/>
          <w:insideV w:val="nil"/>
        </w:tcBorders>
      </w:tcPr>
    </w:tblStylePr>
    <w:tblStylePr w:type="firstCol">
      <w:rPr>
        <w:rFonts w:cs="Calibri Light"/>
        <w:b/>
        <w:bCs/>
      </w:rPr>
    </w:tblStylePr>
    <w:tblStylePr w:type="lastCol">
      <w:rPr>
        <w:rFonts w:cs="Calibri Light"/>
        <w:b/>
        <w:bCs/>
      </w:rPr>
    </w:tblStylePr>
    <w:tblStylePr w:type="band1Vert">
      <w:rPr>
        <w:rFonts w:cs="Calibri Light"/>
      </w:rPr>
      <w:tblPr/>
      <w:tcPr>
        <w:tcBorders>
          <w:left w:val="nil"/>
          <w:right w:val="nil"/>
          <w:insideH w:val="nil"/>
          <w:insideV w:val="nil"/>
        </w:tcBorders>
        <w:shd w:val="clear" w:color="auto" w:fill="FDE4D0"/>
      </w:tcPr>
    </w:tblStylePr>
    <w:tblStylePr w:type="band1Horz">
      <w:rPr>
        <w:rFonts w:cs="Calibri Light"/>
      </w:rPr>
      <w:tblPr/>
      <w:tcPr>
        <w:tcBorders>
          <w:left w:val="nil"/>
          <w:right w:val="nil"/>
          <w:insideH w:val="nil"/>
          <w:insideV w:val="nil"/>
        </w:tcBorders>
        <w:shd w:val="clear" w:color="auto" w:fill="FDE4D0"/>
      </w:tcPr>
    </w:tblStylePr>
  </w:style>
  <w:style w:type="table" w:customStyle="1" w:styleId="LightList-Accent61">
    <w:name w:val="Light List - Accent 61"/>
    <w:rsid w:val="008E3599"/>
    <w:rPr>
      <w:rFonts w:ascii="NikoshBAN" w:eastAsia="Calibri" w:hAnsi="NikoshBAN" w:cs="NikoshBAN"/>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Georgia" w:hAnsi="Georgia" w:cs="Georgia"/>
        <w:b/>
        <w:bCs/>
        <w:color w:val="FFFFFF"/>
      </w:rPr>
      <w:tblPr/>
      <w:tcPr>
        <w:shd w:val="clear" w:color="auto" w:fill="F79646"/>
      </w:tcPr>
    </w:tblStylePr>
    <w:tblStylePr w:type="lastRow">
      <w:pPr>
        <w:spacing w:beforeLines="0" w:beforeAutospacing="0" w:afterLines="0" w:afterAutospacing="0"/>
      </w:pPr>
      <w:rPr>
        <w:rFonts w:ascii="Georgia" w:hAnsi="Georgia" w:cs="Georgia"/>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ascii="Georgia" w:hAnsi="Georgia" w:cs="Georgia"/>
        <w:b/>
        <w:bCs/>
      </w:rPr>
    </w:tblStylePr>
    <w:tblStylePr w:type="lastCol">
      <w:rPr>
        <w:rFonts w:ascii="Georgia" w:hAnsi="Georgia" w:cs="Georgia"/>
        <w:b/>
        <w:bCs/>
      </w:rPr>
    </w:tblStylePr>
    <w:tblStylePr w:type="band1Vert">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tblStylePr w:type="band1Horz">
      <w:rPr>
        <w:rFonts w:ascii="Georgia" w:hAnsi="Georgia" w:cs="Georgia"/>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
    <w:name w:val="Light Grid - Accent 61"/>
    <w:rsid w:val="008E3599"/>
    <w:rPr>
      <w:rFonts w:ascii="Calibri" w:eastAsia="Calibri" w:hAnsi="Calibri" w:cs="Calibri"/>
      <w:b/>
      <w:bCs/>
      <w:lang w:val="en-SG" w:eastAsia="en-SG" w:bidi="bn-BD"/>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pPr>
      <w:rPr>
        <w:rFonts w:ascii="Calibri Light" w:eastAsia="Times New Roman" w:hAnsi="Calibri Light" w:cs="Calibri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pPr>
      <w:rPr>
        <w:rFonts w:ascii="Calibri Light" w:eastAsia="Times New Roman" w:hAnsi="Calibri Light" w:cs="Calibri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Light"/>
        <w:b/>
        <w:bCs/>
      </w:rPr>
    </w:tblStylePr>
    <w:tblStylePr w:type="lastCol">
      <w:rPr>
        <w:rFonts w:ascii="Calibri Light" w:eastAsia="Times New Roman" w:hAnsi="Calibri Light" w:cs="Calibri Light"/>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ascii="Calibri Light" w:hAnsi="Calibri Light" w:cs="Calibri Light"/>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ascii="Calibri Light" w:hAnsi="Calibri Light" w:cs="Calibri Light"/>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61">
    <w:name w:val="Medium List 1 - Accent 61"/>
    <w:rsid w:val="008E3599"/>
    <w:rPr>
      <w:rFonts w:ascii="Calibri" w:hAnsi="Calibri" w:cs="Calibri"/>
      <w:color w:val="000000"/>
      <w:lang w:val="en-SG" w:eastAsia="en-SG" w:bidi="bn-BD"/>
    </w:rPr>
    <w:tblPr>
      <w:tblStyleRowBandSize w:val="1"/>
      <w:tblStyleColBandSize w:val="1"/>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Times New Roman" w:hAnsi="Calibri" w:cs="Calibri"/>
      </w:rPr>
      <w:tblPr/>
      <w:tcPr>
        <w:tcBorders>
          <w:top w:val="nil"/>
          <w:bottom w:val="single" w:sz="8" w:space="0" w:color="F79646"/>
        </w:tcBorders>
      </w:tcPr>
    </w:tblStylePr>
    <w:tblStylePr w:type="lastRow">
      <w:rPr>
        <w:rFonts w:cs="Calibri Light"/>
        <w:b/>
        <w:bCs/>
        <w:color w:val="1F497D"/>
      </w:rPr>
      <w:tblPr/>
      <w:tcPr>
        <w:tcBorders>
          <w:top w:val="single" w:sz="8" w:space="0" w:color="F79646"/>
          <w:bottom w:val="single" w:sz="8" w:space="0" w:color="F79646"/>
        </w:tcBorders>
      </w:tcPr>
    </w:tblStylePr>
    <w:tblStylePr w:type="firstCol">
      <w:rPr>
        <w:rFonts w:cs="Calibri Light"/>
        <w:b/>
        <w:bCs/>
      </w:rPr>
    </w:tblStylePr>
    <w:tblStylePr w:type="lastCol">
      <w:rPr>
        <w:rFonts w:cs="Calibri Light"/>
        <w:b/>
        <w:bCs/>
      </w:rPr>
      <w:tblPr/>
      <w:tcPr>
        <w:tcBorders>
          <w:top w:val="single" w:sz="8" w:space="0" w:color="F79646"/>
          <w:bottom w:val="single" w:sz="8" w:space="0" w:color="F79646"/>
        </w:tcBorders>
      </w:tcPr>
    </w:tblStylePr>
    <w:tblStylePr w:type="band1Vert">
      <w:rPr>
        <w:rFonts w:cs="Calibri Light"/>
      </w:rPr>
      <w:tblPr/>
      <w:tcPr>
        <w:shd w:val="clear" w:color="auto" w:fill="FDE4D0"/>
      </w:tcPr>
    </w:tblStylePr>
    <w:tblStylePr w:type="band1Horz">
      <w:rPr>
        <w:rFonts w:cs="Calibri Light"/>
      </w:rPr>
      <w:tblPr/>
      <w:tcPr>
        <w:shd w:val="clear" w:color="auto" w:fill="FDE4D0"/>
      </w:tcPr>
    </w:tblStylePr>
  </w:style>
  <w:style w:type="table" w:customStyle="1" w:styleId="ListTable6Colorful1">
    <w:name w:val="List Table 6 Colorful1"/>
    <w:rsid w:val="008E3599"/>
    <w:rPr>
      <w:rFonts w:ascii="Calibri" w:hAnsi="Calibri" w:cs="Calibri"/>
      <w:color w:val="000000"/>
    </w:rPr>
    <w:tblPr>
      <w:tblStyleRowBandSize w:val="1"/>
      <w:tblStyleColBandSize w:val="1"/>
      <w:tblBorders>
        <w:top w:val="single" w:sz="4" w:space="0" w:color="000000"/>
        <w:bottom w:val="single" w:sz="4" w:space="0" w:color="000000"/>
      </w:tblBorders>
      <w:tblCellMar>
        <w:top w:w="0" w:type="dxa"/>
        <w:left w:w="108" w:type="dxa"/>
        <w:bottom w:w="0" w:type="dxa"/>
        <w:right w:w="108" w:type="dxa"/>
      </w:tblCellMar>
    </w:tblPr>
  </w:style>
  <w:style w:type="table" w:customStyle="1" w:styleId="LightShading10">
    <w:name w:val="Light Shading1"/>
    <w:rsid w:val="008E3599"/>
    <w:rPr>
      <w:rFonts w:ascii="Calibri" w:hAnsi="Calibri" w:cs="Calibri"/>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4">
    <w:name w:val="14"/>
    <w:rsid w:val="008E3599"/>
    <w:pPr>
      <w:widowControl w:val="0"/>
      <w:autoSpaceDE w:val="0"/>
      <w:autoSpaceDN w:val="0"/>
      <w:adjustRightInd w:val="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145"/>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Grid1">
    <w:name w:val="Light Grid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List1">
    <w:name w:val="Light List1"/>
    <w:rsid w:val="008E3599"/>
    <w:rPr>
      <w:rFonts w:ascii="Calibri" w:eastAsia="Calibri" w:hAnsi="Calibri" w:cs="Calibri"/>
      <w:b/>
      <w:bC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9">
    <w:name w:val="29"/>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4">
    <w:name w:val="144"/>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43">
    <w:name w:val="143"/>
    <w:rsid w:val="008E3599"/>
    <w:pPr>
      <w:widowControl w:val="0"/>
      <w:autoSpaceDE w:val="0"/>
      <w:autoSpaceDN w:val="0"/>
      <w:adjustRightInd w:val="0"/>
    </w:pPr>
    <w:rPr>
      <w:rFonts w:eastAsia="Calibri"/>
      <w:sz w:val="24"/>
      <w:szCs w:val="24"/>
    </w:rPr>
    <w:tblPr>
      <w:tblBorders>
        <w:top w:val="single" w:sz="8" w:space="0" w:color="008000"/>
        <w:bottom w:val="single" w:sz="8" w:space="0" w:color="008000"/>
      </w:tblBorders>
      <w:tblCellMar>
        <w:top w:w="0" w:type="dxa"/>
        <w:left w:w="108" w:type="dxa"/>
        <w:bottom w:w="0" w:type="dxa"/>
        <w:right w:w="108" w:type="dxa"/>
      </w:tblCellMar>
    </w:tblPr>
  </w:style>
  <w:style w:type="table" w:customStyle="1" w:styleId="LightList-Accent22">
    <w:name w:val="Light List - Accent 22"/>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2">
    <w:name w:val="Light Shading - Accent 42"/>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2">
    <w:name w:val="Light Grid - Accent 62"/>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142">
    <w:name w:val="142"/>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291">
    <w:name w:val="291"/>
    <w:rsid w:val="008E3599"/>
    <w:pPr>
      <w:widowControl w:val="0"/>
      <w:autoSpaceDE w:val="0"/>
      <w:autoSpaceDN w:val="0"/>
      <w:adjustRightInd w:val="0"/>
    </w:pPr>
    <w:rPr>
      <w:rFonts w:eastAsia="Calibri"/>
      <w:sz w:val="24"/>
      <w:szCs w:val="24"/>
    </w:rPr>
    <w:tblPr>
      <w:tblBorders>
        <w:top w:val="single" w:sz="12" w:space="0" w:color="008000"/>
        <w:bottom w:val="single" w:sz="12" w:space="0" w:color="008000"/>
      </w:tblBorders>
      <w:tblCellMar>
        <w:top w:w="0" w:type="dxa"/>
        <w:left w:w="14" w:type="dxa"/>
        <w:bottom w:w="0" w:type="dxa"/>
        <w:right w:w="14" w:type="dxa"/>
      </w:tblCellMar>
    </w:tblPr>
  </w:style>
  <w:style w:type="table" w:customStyle="1" w:styleId="141">
    <w:name w:val="141"/>
    <w:rsid w:val="008E3599"/>
    <w:pPr>
      <w:widowControl w:val="0"/>
      <w:autoSpaceDE w:val="0"/>
      <w:autoSpaceDN w:val="0"/>
      <w:adjustRightInd w:val="0"/>
    </w:pPr>
    <w:rPr>
      <w:rFonts w:eastAsia="Calibri"/>
      <w:sz w:val="24"/>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23">
    <w:name w:val="Light List - Accent 23"/>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Shading-Accent43">
    <w:name w:val="Light Shading - Accent 43"/>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
    <w:name w:val="Light Grid - Accent 63"/>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2">
    <w:name w:val="Light Shading2"/>
    <w:rsid w:val="008E3599"/>
    <w:rPr>
      <w:rFonts w:ascii="Calibri" w:eastAsia="Calibri" w:hAnsi="Calibri"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231">
    <w:name w:val="Light List - Accent 231"/>
    <w:rsid w:val="008E3599"/>
    <w:rPr>
      <w:rFonts w:eastAsia="Calibri"/>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Accent611">
    <w:name w:val="Light List - Accent 611"/>
    <w:rsid w:val="008E3599"/>
    <w:rPr>
      <w:rFonts w:ascii="NikoshBAN" w:eastAsia="Calibri" w:hAnsi="NikoshBAN" w:cs="NikoshBAN"/>
      <w:b/>
      <w:bCs/>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Shading-Accent431">
    <w:name w:val="Light Shading - Accent 431"/>
    <w:rsid w:val="008E3599"/>
    <w:rPr>
      <w:rFonts w:ascii="Calibri" w:eastAsia="Calibri" w:hAnsi="Calibri" w:cs="Calibri"/>
      <w:color w:val="5F497A"/>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631">
    <w:name w:val="Light Grid - Accent 631"/>
    <w:rsid w:val="008E3599"/>
    <w:rPr>
      <w:rFonts w:ascii="Calibri" w:eastAsia="Calibri" w:hAnsi="Calibri"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Shading-Accent211">
    <w:name w:val="Light Shading - Accent 211"/>
    <w:rsid w:val="008E3599"/>
    <w:rPr>
      <w:rFonts w:ascii="Calibri" w:eastAsia="Calibri" w:hAnsi="Calibri" w:cs="Calibri"/>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rsid w:val="008E3599"/>
    <w:rPr>
      <w:rFonts w:ascii="Calibri" w:eastAsia="Calibri" w:hAnsi="Calibri" w:cs="Calibri"/>
      <w:color w:val="31849B"/>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
    <w:name w:val="Light Shading - Accent 311"/>
    <w:rsid w:val="008E3599"/>
    <w:rPr>
      <w:rFonts w:ascii="Calibri" w:eastAsia="Calibri" w:hAnsi="Calibri" w:cs="Calibri"/>
      <w:b/>
      <w:bCs/>
      <w:color w:val="76923C"/>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character" w:customStyle="1" w:styleId="BalloonTextChar2">
    <w:name w:val="Balloon Text Char2"/>
    <w:basedOn w:val="DefaultParagraphFont"/>
    <w:semiHidden/>
    <w:locked/>
    <w:rsid w:val="008E3599"/>
    <w:rPr>
      <w:rFonts w:ascii="Tahoma" w:hAnsi="Tahoma" w:cs="Tahoma"/>
      <w:sz w:val="16"/>
      <w:szCs w:val="16"/>
    </w:rPr>
  </w:style>
  <w:style w:type="paragraph" w:customStyle="1" w:styleId="TableParagraph">
    <w:name w:val="Table Paragraph"/>
    <w:basedOn w:val="Normal"/>
    <w:uiPriority w:val="1"/>
    <w:qFormat/>
    <w:rsid w:val="004713EA"/>
    <w:pPr>
      <w:widowControl w:val="0"/>
      <w:autoSpaceDE w:val="0"/>
      <w:autoSpaceDN w:val="0"/>
    </w:pPr>
    <w:rPr>
      <w:sz w:val="22"/>
      <w:szCs w:val="22"/>
    </w:rPr>
  </w:style>
  <w:style w:type="paragraph" w:customStyle="1" w:styleId="first-para">
    <w:name w:val="first-para"/>
    <w:basedOn w:val="Normal"/>
    <w:uiPriority w:val="99"/>
    <w:rsid w:val="00CC2E72"/>
    <w:pPr>
      <w:spacing w:before="100" w:beforeAutospacing="1" w:after="100" w:afterAutospacing="1"/>
    </w:pPr>
  </w:style>
  <w:style w:type="character" w:customStyle="1" w:styleId="MTEquationSection">
    <w:name w:val="MTEquationSection"/>
    <w:basedOn w:val="DefaultParagraphFont"/>
    <w:rsid w:val="00CC2E72"/>
    <w:rPr>
      <w:rFonts w:ascii="Times New Roman" w:hAnsi="Times New Roman" w:cs="Times New Roman"/>
      <w:b/>
      <w:bCs/>
      <w:vanish/>
      <w:color w:val="FF0000"/>
      <w:sz w:val="28"/>
      <w:szCs w:val="28"/>
    </w:rPr>
  </w:style>
  <w:style w:type="character" w:customStyle="1" w:styleId="MTConvertedEquation">
    <w:name w:val="MTConvertedEquation"/>
    <w:basedOn w:val="DefaultParagraphFont"/>
    <w:rsid w:val="00CC2E72"/>
    <w:rPr>
      <w:rFonts w:ascii="Times New Roman" w:hAnsi="Times New Roman" w:cs="Times New Roman"/>
      <w:sz w:val="24"/>
      <w:szCs w:val="24"/>
    </w:rPr>
  </w:style>
  <w:style w:type="character" w:styleId="HTMLCode">
    <w:name w:val="HTML Code"/>
    <w:basedOn w:val="DefaultParagraphFont"/>
    <w:uiPriority w:val="99"/>
    <w:unhideWhenUsed/>
    <w:rsid w:val="00CC2E72"/>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CC2E72"/>
    <w:rPr>
      <w:color w:val="605E5C"/>
      <w:shd w:val="clear" w:color="auto" w:fill="E1DFDD"/>
    </w:rPr>
  </w:style>
  <w:style w:type="character" w:customStyle="1" w:styleId="hlfld-contribauthor">
    <w:name w:val="hlfld-contribauthor"/>
    <w:basedOn w:val="DefaultParagraphFont"/>
    <w:rsid w:val="00AC143F"/>
  </w:style>
  <w:style w:type="character" w:customStyle="1" w:styleId="nlmgiven-names">
    <w:name w:val="nlm_given-names"/>
    <w:basedOn w:val="DefaultParagraphFont"/>
    <w:rsid w:val="00AC143F"/>
  </w:style>
  <w:style w:type="character" w:customStyle="1" w:styleId="nlmarticle-title">
    <w:name w:val="nlm_article-title"/>
    <w:basedOn w:val="DefaultParagraphFont"/>
    <w:rsid w:val="00AC143F"/>
  </w:style>
  <w:style w:type="character" w:customStyle="1" w:styleId="nlmyear">
    <w:name w:val="nlm_year"/>
    <w:basedOn w:val="DefaultParagraphFont"/>
    <w:rsid w:val="00AC143F"/>
  </w:style>
  <w:style w:type="character" w:customStyle="1" w:styleId="nlmfpage">
    <w:name w:val="nlm_fpage"/>
    <w:basedOn w:val="DefaultParagraphFont"/>
    <w:rsid w:val="00AC143F"/>
  </w:style>
  <w:style w:type="character" w:customStyle="1" w:styleId="nlmlpage">
    <w:name w:val="nlm_lpage"/>
    <w:basedOn w:val="DefaultParagraphFont"/>
    <w:rsid w:val="00AC143F"/>
  </w:style>
  <w:style w:type="character" w:customStyle="1" w:styleId="UnresolvedMention3">
    <w:name w:val="Unresolved Mention3"/>
    <w:basedOn w:val="DefaultParagraphFont"/>
    <w:uiPriority w:val="99"/>
    <w:semiHidden/>
    <w:unhideWhenUsed/>
    <w:rsid w:val="0079299B"/>
    <w:rPr>
      <w:color w:val="605E5C"/>
      <w:shd w:val="clear" w:color="auto" w:fill="E1DFDD"/>
    </w:rPr>
  </w:style>
  <w:style w:type="table" w:customStyle="1" w:styleId="TableGrid0">
    <w:name w:val="TableGrid"/>
    <w:rsid w:val="005821DF"/>
    <w:rPr>
      <w:rFonts w:asciiTheme="minorHAnsi" w:eastAsiaTheme="minorEastAsia" w:hAnsiTheme="minorHAnsi" w:cstheme="minorBidi"/>
      <w:sz w:val="22"/>
      <w:szCs w:val="28"/>
      <w:lang w:val="en-GB" w:eastAsia="en-GB" w:bidi="bn-BD"/>
    </w:rPr>
    <w:tblPr>
      <w:tblCellMar>
        <w:top w:w="0" w:type="dxa"/>
        <w:left w:w="0" w:type="dxa"/>
        <w:bottom w:w="0" w:type="dxa"/>
        <w:right w:w="0" w:type="dxa"/>
      </w:tblCellMar>
    </w:tblPr>
  </w:style>
  <w:style w:type="character" w:customStyle="1" w:styleId="gnd-iwgdh3b">
    <w:name w:val="gnd-iwgdh3b"/>
    <w:basedOn w:val="DefaultParagraphFont"/>
    <w:rsid w:val="005821DF"/>
  </w:style>
  <w:style w:type="paragraph" w:styleId="Bibliography">
    <w:name w:val="Bibliography"/>
    <w:basedOn w:val="Normal"/>
    <w:next w:val="Normal"/>
    <w:uiPriority w:val="37"/>
    <w:unhideWhenUsed/>
    <w:rsid w:val="005821DF"/>
    <w:pPr>
      <w:spacing w:after="200" w:line="276" w:lineRule="auto"/>
    </w:pPr>
    <w:rPr>
      <w:rFonts w:asciiTheme="minorHAnsi" w:eastAsiaTheme="minorHAnsi" w:hAnsiTheme="minorHAnsi" w:cstheme="minorBidi"/>
      <w:sz w:val="22"/>
      <w:szCs w:val="28"/>
      <w:lang w:val="en-GB" w:bidi="bn-BD"/>
    </w:rPr>
  </w:style>
  <w:style w:type="character" w:customStyle="1" w:styleId="go">
    <w:name w:val="go"/>
    <w:basedOn w:val="DefaultParagraphFont"/>
    <w:rsid w:val="0038074B"/>
  </w:style>
  <w:style w:type="paragraph" w:customStyle="1" w:styleId="p">
    <w:name w:val="p"/>
    <w:basedOn w:val="Normal"/>
    <w:rsid w:val="00CE04DC"/>
    <w:pPr>
      <w:spacing w:before="100" w:beforeAutospacing="1" w:after="100" w:afterAutospacing="1"/>
    </w:pPr>
  </w:style>
  <w:style w:type="character" w:styleId="UnresolvedMention">
    <w:name w:val="Unresolved Mention"/>
    <w:basedOn w:val="DefaultParagraphFont"/>
    <w:uiPriority w:val="99"/>
    <w:semiHidden/>
    <w:unhideWhenUsed/>
    <w:rsid w:val="00CE04DC"/>
    <w:rPr>
      <w:color w:val="605E5C"/>
      <w:shd w:val="clear" w:color="auto" w:fill="E1DFDD"/>
    </w:rPr>
  </w:style>
  <w:style w:type="paragraph" w:styleId="TableofFigures">
    <w:name w:val="table of figures"/>
    <w:basedOn w:val="Normal"/>
    <w:next w:val="Normal"/>
    <w:uiPriority w:val="99"/>
    <w:unhideWhenUsed/>
    <w:rsid w:val="00CE04DC"/>
    <w:rPr>
      <w:sz w:val="20"/>
      <w:szCs w:val="20"/>
    </w:rPr>
  </w:style>
  <w:style w:type="character" w:customStyle="1" w:styleId="cf01">
    <w:name w:val="cf01"/>
    <w:basedOn w:val="DefaultParagraphFont"/>
    <w:rsid w:val="00CE04DC"/>
    <w:rPr>
      <w:rFonts w:ascii="Segoe UI" w:hAnsi="Segoe UI" w:cs="Segoe UI" w:hint="default"/>
      <w:sz w:val="18"/>
      <w:szCs w:val="18"/>
    </w:rPr>
  </w:style>
  <w:style w:type="character" w:customStyle="1" w:styleId="apple-tab-span">
    <w:name w:val="apple-tab-span"/>
    <w:basedOn w:val="DefaultParagraphFont"/>
    <w:rsid w:val="00CE0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686484">
      <w:bodyDiv w:val="1"/>
      <w:marLeft w:val="0"/>
      <w:marRight w:val="0"/>
      <w:marTop w:val="0"/>
      <w:marBottom w:val="0"/>
      <w:divBdr>
        <w:top w:val="none" w:sz="0" w:space="0" w:color="auto"/>
        <w:left w:val="none" w:sz="0" w:space="0" w:color="auto"/>
        <w:bottom w:val="none" w:sz="0" w:space="0" w:color="auto"/>
        <w:right w:val="none" w:sz="0" w:space="0" w:color="auto"/>
      </w:divBdr>
    </w:div>
    <w:div w:id="20410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7.bin"/><Relationship Id="rId48"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header" Target="header2.xml"/><Relationship Id="rId20" Type="http://schemas.openxmlformats.org/officeDocument/2006/relationships/image" Target="media/image7.wmf"/><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esktop\submission%20folder\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808993341481148E-2"/>
          <c:y val="8.6128364389233963E-2"/>
          <c:w val="0.90019100665851881"/>
          <c:h val="0.76176288774713974"/>
        </c:manualLayout>
      </c:layout>
      <c:barChart>
        <c:barDir val="col"/>
        <c:grouping val="clustered"/>
        <c:varyColors val="0"/>
        <c:ser>
          <c:idx val="0"/>
          <c:order val="0"/>
          <c:spPr>
            <a:solidFill>
              <a:srgbClr val="E7E6E6"/>
            </a:solidFill>
            <a:ln>
              <a:noFill/>
            </a:ln>
            <a:effectLst/>
          </c:spPr>
          <c:invertIfNegative val="0"/>
          <c:cat>
            <c:strRef>
              <c:f>Kutools_Chart!$A$27:$A$37</c:f>
              <c:strCache>
                <c:ptCount val="11"/>
                <c:pt idx="0">
                  <c:v>Low</c:v>
                </c:pt>
                <c:pt idx="1">
                  <c:v>Moderate </c:v>
                </c:pt>
                <c:pt idx="2">
                  <c:v>High</c:v>
                </c:pt>
                <c:pt idx="4">
                  <c:v>Low</c:v>
                </c:pt>
                <c:pt idx="5">
                  <c:v>Moderate </c:v>
                </c:pt>
                <c:pt idx="6">
                  <c:v>High</c:v>
                </c:pt>
                <c:pt idx="8">
                  <c:v>Low</c:v>
                </c:pt>
                <c:pt idx="9">
                  <c:v>Moderate </c:v>
                </c:pt>
                <c:pt idx="10">
                  <c:v>High</c:v>
                </c:pt>
              </c:strCache>
            </c:strRef>
          </c:cat>
          <c:val>
            <c:numRef>
              <c:f>Kutools_Chart!$B$27:$B$37</c:f>
              <c:numCache>
                <c:formatCode>General</c:formatCode>
                <c:ptCount val="11"/>
                <c:pt idx="0">
                  <c:v>96.8</c:v>
                </c:pt>
                <c:pt idx="1">
                  <c:v>96.8</c:v>
                </c:pt>
                <c:pt idx="2">
                  <c:v>96.8</c:v>
                </c:pt>
                <c:pt idx="4">
                  <c:v>96.8</c:v>
                </c:pt>
                <c:pt idx="5">
                  <c:v>96.8</c:v>
                </c:pt>
                <c:pt idx="6">
                  <c:v>96.8</c:v>
                </c:pt>
                <c:pt idx="8">
                  <c:v>96.8</c:v>
                </c:pt>
                <c:pt idx="9">
                  <c:v>96.8</c:v>
                </c:pt>
                <c:pt idx="10">
                  <c:v>96.8</c:v>
                </c:pt>
              </c:numCache>
            </c:numRef>
          </c:val>
          <c:extLst>
            <c:ext xmlns:c16="http://schemas.microsoft.com/office/drawing/2014/chart" uri="{C3380CC4-5D6E-409C-BE32-E72D297353CC}">
              <c16:uniqueId val="{00000000-94F2-40E3-AE4D-9B5A2F9C2235}"/>
            </c:ext>
          </c:extLst>
        </c:ser>
        <c:ser>
          <c:idx val="1"/>
          <c:order val="1"/>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Kutools_Chart!$A$27:$A$37</c:f>
              <c:strCache>
                <c:ptCount val="11"/>
                <c:pt idx="0">
                  <c:v>Low</c:v>
                </c:pt>
                <c:pt idx="1">
                  <c:v>Moderate </c:v>
                </c:pt>
                <c:pt idx="2">
                  <c:v>High</c:v>
                </c:pt>
                <c:pt idx="4">
                  <c:v>Low</c:v>
                </c:pt>
                <c:pt idx="5">
                  <c:v>Moderate </c:v>
                </c:pt>
                <c:pt idx="6">
                  <c:v>High</c:v>
                </c:pt>
                <c:pt idx="8">
                  <c:v>Low</c:v>
                </c:pt>
                <c:pt idx="9">
                  <c:v>Moderate </c:v>
                </c:pt>
                <c:pt idx="10">
                  <c:v>High</c:v>
                </c:pt>
              </c:strCache>
            </c:strRef>
          </c:cat>
          <c:val>
            <c:numRef>
              <c:f>Kutools_Chart!$C$27:$C$37</c:f>
              <c:numCache>
                <c:formatCode>General</c:formatCode>
                <c:ptCount val="11"/>
                <c:pt idx="0">
                  <c:v>4</c:v>
                </c:pt>
                <c:pt idx="1">
                  <c:v>88</c:v>
                </c:pt>
                <c:pt idx="2">
                  <c:v>8</c:v>
                </c:pt>
              </c:numCache>
            </c:numRef>
          </c:val>
          <c:extLst>
            <c:ext xmlns:c16="http://schemas.microsoft.com/office/drawing/2014/chart" uri="{C3380CC4-5D6E-409C-BE32-E72D297353CC}">
              <c16:uniqueId val="{00000001-94F2-40E3-AE4D-9B5A2F9C2235}"/>
            </c:ext>
          </c:extLst>
        </c:ser>
        <c:ser>
          <c:idx val="2"/>
          <c:order val="2"/>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Kutools_Chart!$A$27:$A$37</c:f>
              <c:strCache>
                <c:ptCount val="11"/>
                <c:pt idx="0">
                  <c:v>Low</c:v>
                </c:pt>
                <c:pt idx="1">
                  <c:v>Moderate </c:v>
                </c:pt>
                <c:pt idx="2">
                  <c:v>High</c:v>
                </c:pt>
                <c:pt idx="4">
                  <c:v>Low</c:v>
                </c:pt>
                <c:pt idx="5">
                  <c:v>Moderate </c:v>
                </c:pt>
                <c:pt idx="6">
                  <c:v>High</c:v>
                </c:pt>
                <c:pt idx="8">
                  <c:v>Low</c:v>
                </c:pt>
                <c:pt idx="9">
                  <c:v>Moderate </c:v>
                </c:pt>
                <c:pt idx="10">
                  <c:v>High</c:v>
                </c:pt>
              </c:strCache>
            </c:strRef>
          </c:cat>
          <c:val>
            <c:numRef>
              <c:f>Kutools_Chart!$D$27:$D$37</c:f>
              <c:numCache>
                <c:formatCode>General</c:formatCode>
                <c:ptCount val="11"/>
                <c:pt idx="4">
                  <c:v>6.2</c:v>
                </c:pt>
                <c:pt idx="5">
                  <c:v>51.3</c:v>
                </c:pt>
                <c:pt idx="6">
                  <c:v>42.5</c:v>
                </c:pt>
              </c:numCache>
            </c:numRef>
          </c:val>
          <c:extLst>
            <c:ext xmlns:c16="http://schemas.microsoft.com/office/drawing/2014/chart" uri="{C3380CC4-5D6E-409C-BE32-E72D297353CC}">
              <c16:uniqueId val="{00000002-94F2-40E3-AE4D-9B5A2F9C2235}"/>
            </c:ext>
          </c:extLst>
        </c:ser>
        <c:ser>
          <c:idx val="3"/>
          <c:order val="3"/>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Kutools_Chart!$A$27:$A$37</c:f>
              <c:strCache>
                <c:ptCount val="11"/>
                <c:pt idx="0">
                  <c:v>Low</c:v>
                </c:pt>
                <c:pt idx="1">
                  <c:v>Moderate </c:v>
                </c:pt>
                <c:pt idx="2">
                  <c:v>High</c:v>
                </c:pt>
                <c:pt idx="4">
                  <c:v>Low</c:v>
                </c:pt>
                <c:pt idx="5">
                  <c:v>Moderate </c:v>
                </c:pt>
                <c:pt idx="6">
                  <c:v>High</c:v>
                </c:pt>
                <c:pt idx="8">
                  <c:v>Low</c:v>
                </c:pt>
                <c:pt idx="9">
                  <c:v>Moderate </c:v>
                </c:pt>
                <c:pt idx="10">
                  <c:v>High</c:v>
                </c:pt>
              </c:strCache>
            </c:strRef>
          </c:cat>
          <c:val>
            <c:numRef>
              <c:f>Kutools_Chart!$E$27:$E$37</c:f>
              <c:numCache>
                <c:formatCode>General</c:formatCode>
                <c:ptCount val="11"/>
                <c:pt idx="8">
                  <c:v>63.6</c:v>
                </c:pt>
                <c:pt idx="9">
                  <c:v>15.6</c:v>
                </c:pt>
                <c:pt idx="10">
                  <c:v>20.7</c:v>
                </c:pt>
              </c:numCache>
            </c:numRef>
          </c:val>
          <c:extLst>
            <c:ext xmlns:c16="http://schemas.microsoft.com/office/drawing/2014/chart" uri="{C3380CC4-5D6E-409C-BE32-E72D297353CC}">
              <c16:uniqueId val="{00000003-94F2-40E3-AE4D-9B5A2F9C2235}"/>
            </c:ext>
          </c:extLst>
        </c:ser>
        <c:dLbls>
          <c:showLegendKey val="0"/>
          <c:showVal val="0"/>
          <c:showCatName val="0"/>
          <c:showSerName val="0"/>
          <c:showPercent val="0"/>
          <c:showBubbleSize val="0"/>
        </c:dLbls>
        <c:gapWidth val="25"/>
        <c:overlap val="100"/>
        <c:axId val="1679718240"/>
        <c:axId val="1679700480"/>
      </c:barChart>
      <c:lineChart>
        <c:grouping val="standard"/>
        <c:varyColors val="0"/>
        <c:ser>
          <c:idx val="4"/>
          <c:order val="4"/>
          <c:spPr>
            <a:ln w="28575" cap="rnd">
              <a:noFill/>
              <a:round/>
            </a:ln>
            <a:effectLst/>
            <a:extLst>
              <a:ext uri="{91240B29-F687-4F45-9708-019B960494DF}">
                <a14:hiddenLine xmlns:a14="http://schemas.microsoft.com/office/drawing/2010/main" w="28575" cap="rnd">
                  <a:solidFill>
                    <a:srgbClr val="4472C4"/>
                  </a:solidFill>
                  <a:round/>
                </a14:hiddenLine>
              </a:ext>
            </a:extLst>
          </c:spPr>
          <c:marker>
            <c:symbol val="none"/>
          </c:marker>
          <c:dLbls>
            <c:dLbl>
              <c:idx val="5"/>
              <c:layout>
                <c:manualLayout>
                  <c:x val="-7.3957980862148331E-2"/>
                  <c:y val="-6.3199884541286555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F2-40E3-AE4D-9B5A2F9C223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dLblPos val="t"/>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strRef>
              <c:f>Kutools_Chart!$F$27:$F$37</c:f>
              <c:strCache>
                <c:ptCount val="10"/>
                <c:pt idx="1">
                  <c:v>Stress level</c:v>
                </c:pt>
                <c:pt idx="5">
                  <c:v>Depression level</c:v>
                </c:pt>
                <c:pt idx="9">
                  <c:v>Spousal Support</c:v>
                </c:pt>
              </c:strCache>
            </c:strRef>
          </c:cat>
          <c:val>
            <c:numRef>
              <c:f>Kutools_Chart!$B$27:$B$37</c:f>
              <c:numCache>
                <c:formatCode>General</c:formatCode>
                <c:ptCount val="11"/>
                <c:pt idx="0">
                  <c:v>96.8</c:v>
                </c:pt>
                <c:pt idx="1">
                  <c:v>96.8</c:v>
                </c:pt>
                <c:pt idx="2">
                  <c:v>96.8</c:v>
                </c:pt>
                <c:pt idx="4">
                  <c:v>96.8</c:v>
                </c:pt>
                <c:pt idx="5">
                  <c:v>96.8</c:v>
                </c:pt>
                <c:pt idx="6">
                  <c:v>96.8</c:v>
                </c:pt>
                <c:pt idx="8">
                  <c:v>96.8</c:v>
                </c:pt>
                <c:pt idx="9">
                  <c:v>96.8</c:v>
                </c:pt>
                <c:pt idx="10">
                  <c:v>96.8</c:v>
                </c:pt>
              </c:numCache>
            </c:numRef>
          </c:val>
          <c:smooth val="0"/>
          <c:extLst>
            <c:ext xmlns:c16="http://schemas.microsoft.com/office/drawing/2014/chart" uri="{C3380CC4-5D6E-409C-BE32-E72D297353CC}">
              <c16:uniqueId val="{00000005-94F2-40E3-AE4D-9B5A2F9C2235}"/>
            </c:ext>
          </c:extLst>
        </c:ser>
        <c:dLbls>
          <c:showLegendKey val="0"/>
          <c:showVal val="0"/>
          <c:showCatName val="0"/>
          <c:showSerName val="0"/>
          <c:showPercent val="0"/>
          <c:showBubbleSize val="0"/>
        </c:dLbls>
        <c:marker val="1"/>
        <c:smooth val="0"/>
        <c:axId val="1679701440"/>
        <c:axId val="1679713920"/>
      </c:lineChart>
      <c:catAx>
        <c:axId val="167971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679700480"/>
        <c:crosses val="autoZero"/>
        <c:auto val="0"/>
        <c:lblAlgn val="ctr"/>
        <c:lblOffset val="100"/>
        <c:noMultiLvlLbl val="0"/>
      </c:catAx>
      <c:valAx>
        <c:axId val="1679700480"/>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highlight>
                      <a:srgbClr val="FFFF00"/>
                    </a:highlight>
                  </a:rPr>
                  <a:t>Percentage</a:t>
                </a:r>
                <a:r>
                  <a:rPr lang="en-US"/>
                  <a: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9718240"/>
        <c:crosses val="autoZero"/>
        <c:crossBetween val="between"/>
      </c:valAx>
      <c:valAx>
        <c:axId val="1679713920"/>
        <c:scaling>
          <c:orientation val="minMax"/>
        </c:scaling>
        <c:delete val="1"/>
        <c:axPos val="r"/>
        <c:numFmt formatCode="General" sourceLinked="1"/>
        <c:majorTickMark val="out"/>
        <c:minorTickMark val="none"/>
        <c:tickLblPos val="nextTo"/>
        <c:crossAx val="1679701440"/>
        <c:crosses val="max"/>
        <c:crossBetween val="between"/>
      </c:valAx>
      <c:catAx>
        <c:axId val="1679701440"/>
        <c:scaling>
          <c:orientation val="minMax"/>
        </c:scaling>
        <c:delete val="1"/>
        <c:axPos val="b"/>
        <c:numFmt formatCode="General" sourceLinked="1"/>
        <c:majorTickMark val="out"/>
        <c:minorTickMark val="none"/>
        <c:tickLblPos val="nextTo"/>
        <c:crossAx val="1679713920"/>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Goo14</b:Tag>
    <b:SourceType>JournalArticle</b:SourceType>
    <b:Guid>{EDD0BB9B-1599-412E-B423-9A09AA0C2B55}</b:Guid>
    <b:Author>
      <b:Author>
        <b:Corporate>Goodnough, L. T., &amp; Shah, N.</b:Corporate>
      </b:Author>
    </b:Author>
    <b:Title>Evaluation and management of anemia in the elderly</b:Title>
    <b:JournalName>American Journal of Hematology</b:JournalName>
    <b:Year>2014</b:Year>
    <b:Pages>88-96</b:Pages>
    <b:RefOrder>1</b:RefOrder>
  </b:Source>
  <b:Source>
    <b:Tag>Bao19</b:Tag>
    <b:SourceType>JournalArticle</b:SourceType>
    <b:Guid>{8E1FF9C8-7542-448F-A2A8-953D41BBA75E}</b:Guid>
    <b:Author>
      <b:Author>
        <b:Corporate>Bao, Y., Ma, X., Yang, R., Wang, Y., Wang, F., Zhou, J., Wang, T., &amp; Zhao, X</b:Corporate>
      </b:Author>
    </b:Author>
    <b:Title>Association between red blood cell distribution width and all-cause mortality in patients with cardiovascular disease: a systematic review and meta-analysis of cohort studies</b:Title>
    <b:JournalName>Journal of Clinical Laboratory Analysis</b:JournalName>
    <b:Year>2019</b:Year>
    <b:RefOrder>2</b:RefOrder>
  </b:Source>
  <b:Source>
    <b:Tag>Men20</b:Tag>
    <b:SourceType>JournalArticle</b:SourceType>
    <b:Guid>{36AA2572-4903-431D-B00C-EFAFD063145C}</b:Guid>
    <b:Author>
      <b:Author>
        <b:Corporate>Menter, T., Frey, N., Zoller, H., Steiner, D., Staub, D., &amp; Mattle, H. P.</b:Corporate>
      </b:Author>
    </b:Author>
    <b:Title>Association between platelet count and spontaneous intracerebral hemorrhage: systematic review and meta-analysis</b:Title>
    <b:JournalName> Journal of Stroke and Cerebrovascular Diseases</b:JournalName>
    <b:Year>2020</b:Year>
    <b:RefOrder>3</b:RefOrder>
  </b:Source>
  <b:Source>
    <b:Tag>LiJ20</b:Tag>
    <b:SourceType>JournalArticle</b:SourceType>
    <b:Guid>{1FDFE455-51C1-481A-A5F9-B4D43679FFD7}</b:Guid>
    <b:Author>
      <b:Author>
        <b:Corporate>Li, J., Li, G., Wang, Y., Li, H., Li, X., Guan, J., ... &amp; Zhuang, J</b:Corporate>
      </b:Author>
    </b:Author>
    <b:Title>Association of platelet count with white blood cell count and non-alcoholic fatty liver disease in the general population: a cross-sectional study</b:Title>
    <b:JournalName>BMJ Open</b:JournalName>
    <b:Year>2020</b:Year>
    <b:RefOrder>4</b:RefOrder>
  </b:Source>
  <b:Source>
    <b:Tag>Cam131</b:Tag>
    <b:SourceType>JournalArticle</b:SourceType>
    <b:Guid>{145B20BA-D44E-41F8-AF53-4345A790495F}</b:Guid>
    <b:Author>
      <b:Author>
        <b:Corporate>Cameron, A. C., &amp; Trivedi, P. K.</b:Corporate>
      </b:Author>
    </b:Author>
    <b:Title>Regression analysis of count data</b:Title>
    <b:JournalName>Cambridge University Press</b:JournalName>
    <b:Year>2013</b:Year>
    <b:RefOrder>5</b:RefOrder>
  </b:Source>
  <b:Source>
    <b:Tag>Wie14</b:Tag>
    <b:SourceType>JournalArticle</b:SourceType>
    <b:Guid>{0FC4F25E-E3D4-4A9C-AA45-C57DC7E07D47}</b:Guid>
    <b:Author>
      <b:Author>
        <b:Corporate>Wieringa, J. W., &amp; Geskus, R. B.</b:Corporate>
      </b:Author>
    </b:Author>
    <b:Title>A tutorial on mixed-effects regression models for longitudinal count data.</b:Title>
    <b:Year>2014</b:Year>
    <b:Publisher>International Journal of Epidemiology</b:Publisher>
    <b:JournalName>International Journal of Epidemiology.</b:JournalName>
    <b:Pages>456-467</b:Pages>
    <b:RefOrder>6</b:RefOrder>
  </b:Source>
  <b:Source>
    <b:Tag>McF19</b:Tag>
    <b:SourceType>JournalArticle</b:SourceType>
    <b:Guid>{99B18FBC-BE4A-4880-A254-CB8EE05D2625}</b:Guid>
    <b:Author>
      <b:Author>
        <b:Corporate>McFadden, S. L., &amp; Sternberg, J. C.</b:Corporate>
      </b:Author>
    </b:Author>
    <b:Title>Count models in epidemiology.</b:Title>
    <b:JournalName>Journal of Epidemiology and Community Health</b:JournalName>
    <b:Year>2019</b:Year>
    <b:Pages>952-958</b:Pages>
    <b:RefOrder>7</b:RefOrder>
  </b:Source>
  <b:Source>
    <b:Tag>Liu20</b:Tag>
    <b:SourceType>JournalArticle</b:SourceType>
    <b:Guid>{52372029-3F9C-4A86-9AF8-A0459DEA4DBA}</b:Guid>
    <b:Author>
      <b:Author>
        <b:Corporate>Liu et al.</b:Corporate>
      </b:Author>
    </b:Author>
    <b:Title>Association of Platelet Count with Mortality in COVID-19 Patients: Retrospective Cohort Study</b:Title>
    <b:JournalName>The Journal of Thrombosis and Haemostasis.</b:JournalName>
    <b:Year>2020</b:Year>
    <b:RefOrder>8</b:RefOrder>
  </b:Source>
  <b:Source>
    <b:Tag>Cam13</b:Tag>
    <b:SourceType>Book</b:SourceType>
    <b:Guid>{A57C6FF9-58A2-49CC-B8C1-EE996E857C1E}</b:Guid>
    <b:Author>
      <b:Author>
        <b:Corporate>Cameron, A. C., &amp; Trivedi, P. K.</b:Corporate>
      </b:Author>
    </b:Author>
    <b:Title>Regression analysis of count data</b:Title>
    <b:Year>2013</b:Year>
    <b:Publisher>Cambridge University Press.</b:Publisher>
    <b:RefOrder>9</b:RefOrder>
  </b:Source>
  <b:Source>
    <b:Tag>Hil14</b:Tag>
    <b:SourceType>Book</b:SourceType>
    <b:Guid>{E2E2F8AC-21EA-40BC-A2F2-BA73B4997E8D}</b:Guid>
    <b:Title>Modeling count data.</b:Title>
    <b:Year>2014</b:Year>
    <b:Author>
      <b:Author>
        <b:Corporate>Hilbe, J. M.</b:Corporate>
      </b:Author>
    </b:Author>
    <b:Publisher>Cambridge University Press.</b:Publisher>
    <b:RefOrder>10</b:RefOrder>
  </b:Source>
  <b:Source>
    <b:Tag>Zei08</b:Tag>
    <b:SourceType>JournalArticle</b:SourceType>
    <b:Guid>{6A7645A2-747B-4DC2-81B2-C3C965D48CB7}</b:Guid>
    <b:Title>Regression models for count data in R</b:Title>
    <b:Year>2008</b:Year>
    <b:Author>
      <b:Author>
        <b:Corporate>Zeileis, A., Kleiber, C., &amp; Jackman, S.</b:Corporate>
      </b:Author>
    </b:Author>
    <b:JournalName>Journal of Statistical Software</b:JournalName>
    <b:Pages>1-25.</b:Pages>
    <b:RefOrder>11</b:RefOrder>
  </b:Source>
  <b:Source>
    <b:Tag>Bur04</b:Tag>
    <b:SourceType>JournalArticle</b:SourceType>
    <b:Guid>{11ABB721-3873-4F15-BA96-8A26FEEA2E53}</b:Guid>
    <b:Author>
      <b:Author>
        <b:Corporate>Burnham, K. P., &amp; Anderson, D. R.</b:Corporate>
      </b:Author>
    </b:Author>
    <b:Title>Multimodel inference: understanding AIC and BIC in model selection. </b:Title>
    <b:JournalName>Sociological Methods &amp; Research</b:JournalName>
    <b:Year>2004</b:Year>
    <b:Pages> 261-304.</b:Pages>
    <b:RefOrder>12</b:RefOrder>
  </b:Source>
  <b:Source>
    <b:Tag>Kon08</b:Tag>
    <b:SourceType>JournalArticle</b:SourceType>
    <b:Guid>{8D7E345E-10FB-4F7D-905E-91E1A7193590}</b:Guid>
    <b:Author>
      <b:Author>
        <b:Corporate>Konishi, S., &amp; Kitagawa, G</b:Corporate>
      </b:Author>
    </b:Author>
    <b:Title>Information criteria and statistical modeling.</b:Title>
    <b:JournalName>Springer Science &amp; Business Media.</b:JournalName>
    <b:Year>2008</b:Year>
    <b:RefOrder>13</b:RefOrder>
  </b:Source>
  <b:Source>
    <b:Tag>Zou041</b:Tag>
    <b:SourceType>JournalArticle</b:SourceType>
    <b:Guid>{3323A263-9D40-47E3-993F-1A38FC150987}</b:Guid>
    <b:Author>
      <b:Author>
        <b:Corporate>Zou, G. </b:Corporate>
      </b:Author>
    </b:Author>
    <b:Title>A modified Poisson regression approach to prospective studies with binary data.</b:Title>
    <b:JournalName>American Journal of Epidemiology</b:JournalName>
    <b:Year>2004</b:Year>
    <b:Pages>702-706.</b:Pages>
    <b:RefOrder>14</b:RefOrder>
  </b:Source>
  <b:Source>
    <b:Tag>Fer04</b:Tag>
    <b:SourceType>JournalArticle</b:SourceType>
    <b:Guid>{E132543E-C0DF-484A-93F0-456FCE5AC2B4}</b:Guid>
    <b:Author>
      <b:Author>
        <b:Corporate>Ferrari, S. L., &amp; Cribari-Neto, F.</b:Corporate>
      </b:Author>
    </b:Author>
    <b:Title>Beta regression for modelling rates and proportions.</b:Title>
    <b:JournalName>Journal of Applied Statistics</b:JournalName>
    <b:Year>2004</b:Year>
    <b:Pages>799-815</b:Pages>
    <b:RefOrder>15</b:RefOrder>
  </b:Source>
  <b:Source>
    <b:Tag>McC18</b:Tag>
    <b:SourceType>Book</b:SourceType>
    <b:Guid>{DCE9C7A5-2656-4CA0-B0B7-5A7446EA1C43}</b:Guid>
    <b:Title>Generalized linear models</b:Title>
    <b:Year>2018</b:Year>
    <b:Author>
      <b:Author>
        <b:Corporate>McCullagh, P</b:Corporate>
      </b:Author>
    </b:Author>
    <b:Publisher>Routledge</b:Publisher>
    <b:RefOrder>17</b:RefOrder>
  </b:Source>
  <b:Source>
    <b:Tag>Zhe19</b:Tag>
    <b:SourceType>JournalArticle</b:SourceType>
    <b:Guid>{2002C3DE-98DD-4BD4-858A-7003CCDCD0FA}</b:Guid>
    <b:Author>
      <b:Author>
        <b:Corporate>Zheng, C., Li, X., Chen, Y., Wang, J., Sun, L., &amp; Zhang, J.</b:Corporate>
      </b:Author>
    </b:Author>
    <b:Title>Associations of Blood Glucose and Hemoglobin A1c Levels with Cardiovascular Disease Risk Factors among Chinese Adults</b:Title>
    <b:JournalName>International Journal of Environmental Research and Public Health</b:JournalName>
    <b:Year>2019</b:Year>
    <b:Pages>1659</b:Pages>
    <b:RefOrder>18</b:RefOrder>
  </b:Source>
  <b:Source>
    <b:Tag>Ban06</b:Tag>
    <b:SourceType>JournalArticle</b:SourceType>
    <b:Guid>{44B164DC-642A-4924-89E8-AB2A0D93D49E}</b:Guid>
    <b:Author>
      <b:Author>
        <b:Corporate>Banbury, M. K., Brizzio, M. E., Rajeswaran, J., Lytle, B. W., &amp; Blackstone, E. H</b:Corporate>
      </b:Author>
    </b:Author>
    <b:Title>Transfusion increases the risk of postoperative infection after cardiovascular surgery.</b:Title>
    <b:Year>2006</b:Year>
    <b:JournalName>Journal of the American College of Surgeons</b:JournalName>
    <b:Pages>131-138</b:Pages>
    <b:RefOrder>16</b:RefOrder>
  </b:Source>
  <b:Source>
    <b:Tag>Zou04</b:Tag>
    <b:SourceType>JournalArticle</b:SourceType>
    <b:Guid>{DFFC6EB7-8AF5-49B3-9ED8-7905DEAE7698}</b:Guid>
    <b:Author>
      <b:Author>
        <b:Corporate>Zou, G.</b:Corporate>
      </b:Author>
    </b:Author>
    <b:Title>A modified poisson regression approach to prospective studies with binary data.</b:Title>
    <b:JournalName>American journal of epidemiology</b:JournalName>
    <b:Year>2004</b:Year>
    <b:Pages>702-706.</b:Pages>
    <b:RefOrder>19</b:RefOrder>
  </b:Source>
  <b:Source>
    <b:Tag>Zei081</b:Tag>
    <b:SourceType>JournalArticle</b:SourceType>
    <b:Guid>{9E62BEA5-95BD-4A54-8D73-6AE63DA18BD5}</b:Guid>
    <b:Author>
      <b:Author>
        <b:Corporate>Zeileis, A., Kleiber, C. and Jackman, S.</b:Corporate>
      </b:Author>
    </b:Author>
    <b:Title> Regression Models for Count Data in R.</b:Title>
    <b:JournalName>Journal of Statistical Software</b:JournalName>
    <b:Year>2008</b:Year>
    <b:Pages>1-25</b:Pages>
    <b:RefOrder>20</b:RefOrder>
  </b:Source>
  <b:Source>
    <b:Tag>Smi06</b:Tag>
    <b:SourceType>JournalArticle</b:SourceType>
    <b:Guid>{F1DE1D16-1912-4221-B53E-5267900057E5}</b:Guid>
    <b:Author>
      <b:Author>
        <b:Corporate>Smithson, M. and Verkuilen, J.</b:Corporate>
      </b:Author>
    </b:Author>
    <b:Title>  A Better Lemon Squeezer? Maximum-Likelihood Regression with Beta-Distributed Dependent Variables</b:Title>
    <b:JournalName>Psychological Methods</b:JournalName>
    <b:Year>2006</b:Year>
    <b:Pages>54-71</b:Pages>
    <b:RefOrder>21</b:RefOrder>
  </b:Source>
</b:Sources>
</file>

<file path=customXml/itemProps1.xml><?xml version="1.0" encoding="utf-8"?>
<ds:datastoreItem xmlns:ds="http://schemas.openxmlformats.org/officeDocument/2006/customXml" ds:itemID="{54430320-0AC2-41E5-80AD-D2CE57CF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21635</Words>
  <Characters>123320</Characters>
  <Application>Microsoft Office Word</Application>
  <DocSecurity>0</DocSecurity>
  <Lines>1027</Lines>
  <Paragraphs>289</Paragraphs>
  <ScaleCrop>false</ScaleCrop>
  <HeadingPairs>
    <vt:vector size="2" baseType="variant">
      <vt:variant>
        <vt:lpstr>Title</vt:lpstr>
      </vt:variant>
      <vt:variant>
        <vt:i4>1</vt:i4>
      </vt:variant>
    </vt:vector>
  </HeadingPairs>
  <TitlesOfParts>
    <vt:vector size="1" baseType="lpstr">
      <vt:lpstr>Moments of Skew Normal Vector Quadratic Froms</vt:lpstr>
    </vt:vector>
  </TitlesOfParts>
  <Company>ju</Company>
  <LinksUpToDate>false</LinksUpToDate>
  <CharactersWithSpaces>144666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Moments of Skew Normal Vector Quadratic Froms</dc:title>
  <dc:creator>rajib</dc:creator>
  <cp:lastModifiedBy>HP</cp:lastModifiedBy>
  <cp:revision>31</cp:revision>
  <cp:lastPrinted>2023-10-04T06:39:00Z</cp:lastPrinted>
  <dcterms:created xsi:type="dcterms:W3CDTF">2023-10-05T04:16:00Z</dcterms:created>
  <dcterms:modified xsi:type="dcterms:W3CDTF">2026-07-22T06:06:00Z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