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8CDCB" w14:textId="77777777" w:rsidR="00191ABF" w:rsidRPr="0050243A" w:rsidRDefault="00191ABF" w:rsidP="008546EF">
      <w:pPr>
        <w:tabs>
          <w:tab w:val="right" w:pos="9309"/>
        </w:tabs>
        <w:ind w:left="567" w:right="645"/>
        <w:jc w:val="center"/>
        <w:rPr>
          <w:b/>
          <w:bCs/>
          <w:color w:val="000000" w:themeColor="text1"/>
          <w:sz w:val="20"/>
          <w:szCs w:val="20"/>
        </w:rPr>
      </w:pPr>
      <w:bookmarkStart w:id="0" w:name="_Hlk225958599"/>
      <w:bookmarkStart w:id="1" w:name="_Hlk201662475"/>
      <w:r w:rsidRPr="00191ABF">
        <w:rPr>
          <w:b/>
          <w:bCs/>
          <w:color w:val="000000" w:themeColor="text1"/>
          <w:sz w:val="22"/>
          <w:szCs w:val="22"/>
        </w:rPr>
        <w:t>Unveiling Macroeconomic and Institutional Determinants of Remittances in Bangladesh: A Nonlinear Modeling Perspective</w:t>
      </w:r>
    </w:p>
    <w:p w14:paraId="7DABA5B5" w14:textId="77777777" w:rsidR="00191ABF" w:rsidRPr="0050243A" w:rsidRDefault="00191ABF" w:rsidP="008546EF">
      <w:pPr>
        <w:tabs>
          <w:tab w:val="right" w:pos="9309"/>
        </w:tabs>
        <w:ind w:left="567" w:right="645"/>
        <w:jc w:val="center"/>
        <w:rPr>
          <w:b/>
          <w:bCs/>
          <w:color w:val="000000" w:themeColor="text1"/>
          <w:sz w:val="20"/>
          <w:szCs w:val="20"/>
        </w:rPr>
      </w:pPr>
    </w:p>
    <w:p w14:paraId="3D00FD1A" w14:textId="77777777" w:rsidR="00191ABF" w:rsidRPr="00191ABF" w:rsidRDefault="00191ABF" w:rsidP="008546EF">
      <w:pPr>
        <w:shd w:val="clear" w:color="auto" w:fill="FFFFFF"/>
        <w:ind w:left="567" w:right="645"/>
        <w:jc w:val="center"/>
        <w:rPr>
          <w:b/>
          <w:bCs/>
          <w:color w:val="222222"/>
          <w:sz w:val="20"/>
          <w:szCs w:val="20"/>
        </w:rPr>
      </w:pPr>
      <w:r w:rsidRPr="00191ABF">
        <w:rPr>
          <w:b/>
          <w:bCs/>
          <w:color w:val="222222"/>
          <w:sz w:val="20"/>
          <w:szCs w:val="20"/>
        </w:rPr>
        <w:t xml:space="preserve">Trisha Saha </w:t>
      </w:r>
    </w:p>
    <w:p w14:paraId="0C96D7BA" w14:textId="77777777" w:rsidR="00F423E2" w:rsidRDefault="00191ABF" w:rsidP="00F423E2">
      <w:pPr>
        <w:shd w:val="clear" w:color="auto" w:fill="FFFFFF"/>
        <w:ind w:left="567" w:right="645"/>
        <w:jc w:val="center"/>
        <w:rPr>
          <w:sz w:val="18"/>
          <w:szCs w:val="18"/>
        </w:rPr>
      </w:pPr>
      <w:r w:rsidRPr="0050243A">
        <w:rPr>
          <w:color w:val="222222"/>
          <w:sz w:val="20"/>
          <w:szCs w:val="20"/>
          <w:vertAlign w:val="superscript"/>
        </w:rPr>
        <w:t> </w:t>
      </w:r>
      <w:r w:rsidRPr="00191ABF">
        <w:rPr>
          <w:color w:val="222222"/>
          <w:sz w:val="18"/>
          <w:szCs w:val="18"/>
        </w:rPr>
        <w:t>Department of Statistics and Data Science, Jahangirnagar University, Savar, Dhaka, Bangladesh</w:t>
      </w:r>
      <w:r w:rsidR="00F423E2" w:rsidRPr="00F423E2">
        <w:rPr>
          <w:sz w:val="18"/>
          <w:szCs w:val="18"/>
        </w:rPr>
        <w:t xml:space="preserve"> </w:t>
      </w:r>
    </w:p>
    <w:p w14:paraId="2B67AB1A" w14:textId="1E06C6A8" w:rsidR="00F423E2" w:rsidRPr="001E036A" w:rsidRDefault="00F423E2" w:rsidP="00F423E2">
      <w:pPr>
        <w:shd w:val="clear" w:color="auto" w:fill="FFFFFF"/>
        <w:ind w:left="567" w:right="645"/>
        <w:jc w:val="center"/>
        <w:rPr>
          <w:sz w:val="20"/>
          <w:szCs w:val="20"/>
        </w:rPr>
      </w:pPr>
      <w:r w:rsidRPr="001E036A">
        <w:rPr>
          <w:sz w:val="18"/>
          <w:szCs w:val="18"/>
        </w:rPr>
        <w:t>ORCID ID: 000</w:t>
      </w:r>
      <w:r w:rsidR="005C0324" w:rsidRPr="001E036A">
        <w:rPr>
          <w:sz w:val="18"/>
          <w:szCs w:val="18"/>
        </w:rPr>
        <w:t>9-0002-8305-337X</w:t>
      </w:r>
    </w:p>
    <w:p w14:paraId="4E1CE0F4" w14:textId="77777777" w:rsidR="00191ABF" w:rsidRPr="001E036A" w:rsidRDefault="00191ABF" w:rsidP="008546EF">
      <w:pPr>
        <w:shd w:val="clear" w:color="auto" w:fill="FFFFFF"/>
        <w:ind w:left="567" w:right="645"/>
        <w:jc w:val="center"/>
        <w:rPr>
          <w:sz w:val="20"/>
          <w:szCs w:val="20"/>
        </w:rPr>
      </w:pPr>
    </w:p>
    <w:p w14:paraId="44EEC66F" w14:textId="77777777" w:rsidR="00191ABF" w:rsidRPr="001E036A" w:rsidRDefault="00191ABF" w:rsidP="008546EF">
      <w:pPr>
        <w:shd w:val="clear" w:color="auto" w:fill="FFFFFF"/>
        <w:ind w:left="567" w:right="645"/>
        <w:jc w:val="center"/>
        <w:rPr>
          <w:rFonts w:eastAsia="Calibri"/>
          <w:b/>
          <w:bCs/>
          <w:sz w:val="20"/>
          <w:szCs w:val="20"/>
          <w:vertAlign w:val="superscript"/>
        </w:rPr>
      </w:pPr>
      <w:r w:rsidRPr="001E036A">
        <w:rPr>
          <w:b/>
          <w:bCs/>
          <w:sz w:val="20"/>
          <w:szCs w:val="20"/>
        </w:rPr>
        <w:t>Ruhul Amin</w:t>
      </w:r>
    </w:p>
    <w:p w14:paraId="173F6958" w14:textId="77777777" w:rsidR="00191ABF" w:rsidRPr="001E036A" w:rsidRDefault="00191ABF" w:rsidP="008546EF">
      <w:pPr>
        <w:shd w:val="clear" w:color="auto" w:fill="FFFFFF"/>
        <w:ind w:left="567" w:right="645"/>
        <w:jc w:val="center"/>
        <w:rPr>
          <w:sz w:val="18"/>
          <w:szCs w:val="18"/>
        </w:rPr>
      </w:pPr>
      <w:r w:rsidRPr="001E036A">
        <w:rPr>
          <w:sz w:val="18"/>
          <w:szCs w:val="18"/>
          <w:vertAlign w:val="superscript"/>
        </w:rPr>
        <w:t> </w:t>
      </w:r>
      <w:r w:rsidRPr="001E036A">
        <w:rPr>
          <w:sz w:val="18"/>
          <w:szCs w:val="18"/>
        </w:rPr>
        <w:t>Department of Statistics and Data Science, Jahangirnagar University, Savar, Dhaka, Bangladesh</w:t>
      </w:r>
    </w:p>
    <w:p w14:paraId="2425EC2E" w14:textId="45DAC345" w:rsidR="00F423E2" w:rsidRPr="001E036A" w:rsidRDefault="00F423E2" w:rsidP="00F423E2">
      <w:pPr>
        <w:shd w:val="clear" w:color="auto" w:fill="FFFFFF"/>
        <w:ind w:left="567" w:right="645"/>
        <w:jc w:val="center"/>
        <w:rPr>
          <w:sz w:val="20"/>
          <w:szCs w:val="20"/>
        </w:rPr>
      </w:pPr>
      <w:r w:rsidRPr="001E036A">
        <w:rPr>
          <w:sz w:val="18"/>
          <w:szCs w:val="18"/>
        </w:rPr>
        <w:t>ORCID ID: 000</w:t>
      </w:r>
      <w:r w:rsidR="005C0324" w:rsidRPr="001E036A">
        <w:rPr>
          <w:sz w:val="18"/>
          <w:szCs w:val="18"/>
        </w:rPr>
        <w:t>9-0003-2325-1400</w:t>
      </w:r>
    </w:p>
    <w:p w14:paraId="014767D9" w14:textId="77777777" w:rsidR="00F423E2" w:rsidRPr="001E036A" w:rsidRDefault="00F423E2" w:rsidP="008546EF">
      <w:pPr>
        <w:shd w:val="clear" w:color="auto" w:fill="FFFFFF"/>
        <w:ind w:left="567" w:right="645"/>
        <w:jc w:val="center"/>
        <w:rPr>
          <w:sz w:val="20"/>
          <w:szCs w:val="20"/>
        </w:rPr>
      </w:pPr>
    </w:p>
    <w:p w14:paraId="324F5D0E" w14:textId="46673ACB" w:rsidR="00191ABF" w:rsidRPr="001E036A" w:rsidRDefault="00191ABF" w:rsidP="008546EF">
      <w:pPr>
        <w:shd w:val="clear" w:color="auto" w:fill="FFFFFF"/>
        <w:ind w:left="567" w:right="645"/>
        <w:jc w:val="center"/>
        <w:rPr>
          <w:b/>
          <w:bCs/>
          <w:sz w:val="20"/>
          <w:szCs w:val="20"/>
        </w:rPr>
      </w:pPr>
      <w:r w:rsidRPr="001E036A">
        <w:rPr>
          <w:sz w:val="20"/>
          <w:szCs w:val="20"/>
        </w:rPr>
        <w:t xml:space="preserve"> </w:t>
      </w:r>
      <w:r w:rsidRPr="001E036A">
        <w:rPr>
          <w:b/>
          <w:bCs/>
          <w:sz w:val="20"/>
          <w:szCs w:val="20"/>
        </w:rPr>
        <w:t xml:space="preserve">Md. Sifat </w:t>
      </w:r>
      <w:proofErr w:type="spellStart"/>
      <w:r w:rsidRPr="001E036A">
        <w:rPr>
          <w:b/>
          <w:bCs/>
          <w:sz w:val="20"/>
          <w:szCs w:val="20"/>
        </w:rPr>
        <w:t>Ar</w:t>
      </w:r>
      <w:proofErr w:type="spellEnd"/>
      <w:r w:rsidRPr="001E036A">
        <w:rPr>
          <w:b/>
          <w:bCs/>
          <w:sz w:val="20"/>
          <w:szCs w:val="20"/>
        </w:rPr>
        <w:t xml:space="preserve"> Salan</w:t>
      </w:r>
      <w:r w:rsidR="00037A7C" w:rsidRPr="001E036A">
        <w:rPr>
          <w:rStyle w:val="FootnoteReference"/>
          <w:b/>
          <w:bCs/>
          <w:sz w:val="20"/>
          <w:szCs w:val="20"/>
        </w:rPr>
        <w:footnoteReference w:id="1"/>
      </w:r>
    </w:p>
    <w:p w14:paraId="29B1AC57" w14:textId="77777777" w:rsidR="00191ABF" w:rsidRPr="001E036A" w:rsidRDefault="00191ABF" w:rsidP="008546EF">
      <w:pPr>
        <w:shd w:val="clear" w:color="auto" w:fill="FFFFFF"/>
        <w:ind w:left="567" w:right="645"/>
        <w:jc w:val="center"/>
        <w:rPr>
          <w:sz w:val="18"/>
          <w:szCs w:val="18"/>
        </w:rPr>
      </w:pPr>
      <w:r w:rsidRPr="001E036A">
        <w:rPr>
          <w:sz w:val="20"/>
          <w:szCs w:val="20"/>
          <w:vertAlign w:val="superscript"/>
        </w:rPr>
        <w:t> </w:t>
      </w:r>
      <w:r w:rsidRPr="001E036A">
        <w:rPr>
          <w:sz w:val="18"/>
          <w:szCs w:val="18"/>
        </w:rPr>
        <w:t>Department of Statistics and Data Science, Jahangirnagar University, Savar, Dhaka, Bangladesh</w:t>
      </w:r>
    </w:p>
    <w:p w14:paraId="77669CD8" w14:textId="2F77EFFF" w:rsidR="00F423E2" w:rsidRPr="001E036A" w:rsidRDefault="00F423E2" w:rsidP="008546EF">
      <w:pPr>
        <w:shd w:val="clear" w:color="auto" w:fill="FFFFFF"/>
        <w:ind w:left="567" w:right="645"/>
        <w:jc w:val="center"/>
        <w:rPr>
          <w:sz w:val="20"/>
          <w:szCs w:val="20"/>
        </w:rPr>
      </w:pPr>
      <w:r w:rsidRPr="001E036A">
        <w:rPr>
          <w:sz w:val="18"/>
          <w:szCs w:val="18"/>
        </w:rPr>
        <w:t>ORCID ID: 0000-</w:t>
      </w:r>
      <w:r w:rsidR="005C0324" w:rsidRPr="001E036A">
        <w:rPr>
          <w:sz w:val="18"/>
          <w:szCs w:val="18"/>
        </w:rPr>
        <w:t>0001-7088-8947</w:t>
      </w:r>
    </w:p>
    <w:p w14:paraId="202D5FAC" w14:textId="77777777" w:rsidR="00191ABF" w:rsidRPr="001E036A" w:rsidRDefault="00191ABF" w:rsidP="008546EF">
      <w:pPr>
        <w:shd w:val="clear" w:color="auto" w:fill="FFFFFF"/>
        <w:ind w:left="567" w:right="645"/>
        <w:jc w:val="center"/>
      </w:pPr>
      <w:r w:rsidRPr="001E036A">
        <w:rPr>
          <w:sz w:val="20"/>
          <w:szCs w:val="20"/>
          <w:vertAlign w:val="superscript"/>
        </w:rPr>
        <w:t> </w:t>
      </w:r>
      <w:bookmarkStart w:id="2" w:name="_Hlk188808274"/>
    </w:p>
    <w:bookmarkEnd w:id="0"/>
    <w:bookmarkEnd w:id="2"/>
    <w:p w14:paraId="11E89EE1" w14:textId="77777777" w:rsidR="00191ABF" w:rsidRPr="00191ABF" w:rsidRDefault="00191ABF" w:rsidP="008546EF">
      <w:pPr>
        <w:ind w:left="567" w:right="645"/>
        <w:jc w:val="center"/>
        <w:rPr>
          <w:b/>
          <w:bCs/>
          <w:color w:val="000000" w:themeColor="text1"/>
          <w:sz w:val="16"/>
          <w:szCs w:val="16"/>
        </w:rPr>
      </w:pPr>
      <w:r w:rsidRPr="00191ABF">
        <w:rPr>
          <w:b/>
          <w:bCs/>
          <w:color w:val="000000" w:themeColor="text1"/>
          <w:sz w:val="16"/>
          <w:szCs w:val="16"/>
        </w:rPr>
        <w:t>Abstract</w:t>
      </w:r>
    </w:p>
    <w:p w14:paraId="026E866C" w14:textId="77777777" w:rsidR="00191ABF" w:rsidRPr="00191ABF" w:rsidRDefault="00191ABF" w:rsidP="008546EF">
      <w:pPr>
        <w:ind w:left="567" w:right="645"/>
        <w:jc w:val="center"/>
        <w:rPr>
          <w:b/>
          <w:bCs/>
          <w:color w:val="000000" w:themeColor="text1"/>
          <w:sz w:val="16"/>
          <w:szCs w:val="16"/>
        </w:rPr>
      </w:pPr>
    </w:p>
    <w:p w14:paraId="2423D26A" w14:textId="77777777" w:rsidR="00191ABF" w:rsidRPr="00191ABF" w:rsidRDefault="00191ABF" w:rsidP="008546EF">
      <w:pPr>
        <w:ind w:left="567" w:right="645"/>
        <w:jc w:val="both"/>
        <w:rPr>
          <w:color w:val="000000" w:themeColor="text1"/>
          <w:sz w:val="16"/>
          <w:szCs w:val="16"/>
        </w:rPr>
      </w:pPr>
      <w:r w:rsidRPr="00191ABF">
        <w:rPr>
          <w:color w:val="000000" w:themeColor="text1"/>
          <w:sz w:val="16"/>
          <w:szCs w:val="16"/>
        </w:rPr>
        <w:t>Remittances are a vital source of external financing for developing countries like Bangladesh, contributing significantly to economic growth, poverty reduction, and household welfare. Their flow is influenced by various economic and institutional factors, including labor migration, exchange rate fluctuations, global labor demand, and political and governance conditions. Identifying these drivers is essential to enhance the effectiveness of remittance-based development strategies. This study examines the relationship between remittance inflows and key macroeconomic and institutional variables in Bangladesh using a nonlinear multiple time series method, the threshold vector autoregressive (TVAR) model. Annual data from 1996 to 2023 were sourced from the World Bank and Bangladesh Bureau of Statistics. The stationarity of each variable was assessed using augmented dickey-fuller (ADF) and Phillips-Perron (PP) tests to ensure data validity. The TVAR model was applied to capture nonlinear and regime-dependent interactions among the selected indicators. Model performance was evaluated using standard criteria such as AIC, BIC, and SSR. The findings suggest that the model demonstrates high robustness (R</w:t>
      </w:r>
      <w:r w:rsidRPr="00191ABF">
        <w:rPr>
          <w:color w:val="000000" w:themeColor="text1"/>
          <w:sz w:val="16"/>
          <w:szCs w:val="16"/>
          <w:vertAlign w:val="superscript"/>
        </w:rPr>
        <w:t xml:space="preserve">2 </w:t>
      </w:r>
      <w:r w:rsidRPr="00191ABF">
        <w:rPr>
          <w:color w:val="000000" w:themeColor="text1"/>
          <w:sz w:val="16"/>
          <w:szCs w:val="16"/>
        </w:rPr>
        <w:t>= 0.9952; AIC = -9879.898; BIC = -9556.896; SSR = 3019.922). Key determinants of remittance inflows identified in the analysis include inflation, GDP, exchange rate, corruption, political stability, and government effectiveness. These results highlight the usefulness of the TVAR model in capturing the complex dynamics of remittance flows and offer critical insights for policymakers seeking to optimize remittance utilization and promote sustainable economic development.</w:t>
      </w:r>
    </w:p>
    <w:p w14:paraId="0D4BFA96" w14:textId="77777777" w:rsidR="00191ABF" w:rsidRPr="00191ABF" w:rsidRDefault="00191ABF" w:rsidP="008546EF">
      <w:pPr>
        <w:ind w:left="567" w:right="645"/>
        <w:jc w:val="both"/>
        <w:rPr>
          <w:color w:val="000000" w:themeColor="text1"/>
          <w:sz w:val="16"/>
          <w:szCs w:val="16"/>
        </w:rPr>
      </w:pPr>
    </w:p>
    <w:p w14:paraId="36D90A4F" w14:textId="77777777" w:rsidR="00191ABF" w:rsidRPr="00191ABF" w:rsidRDefault="00191ABF" w:rsidP="008546EF">
      <w:pPr>
        <w:ind w:left="567" w:right="645"/>
        <w:jc w:val="both"/>
        <w:rPr>
          <w:color w:val="000000" w:themeColor="text1"/>
          <w:sz w:val="16"/>
          <w:szCs w:val="16"/>
        </w:rPr>
      </w:pPr>
      <w:r w:rsidRPr="00191ABF">
        <w:rPr>
          <w:b/>
          <w:bCs/>
          <w:color w:val="000000" w:themeColor="text1"/>
          <w:sz w:val="16"/>
          <w:szCs w:val="16"/>
        </w:rPr>
        <w:t>Keyword:</w:t>
      </w:r>
      <w:r w:rsidRPr="00191ABF">
        <w:rPr>
          <w:color w:val="000000" w:themeColor="text1"/>
          <w:sz w:val="16"/>
          <w:szCs w:val="16"/>
        </w:rPr>
        <w:t xml:space="preserve"> Nonlinear Time Series Modeling; Remittance; Threshold Vector Autoregressive (TVAR) model.</w:t>
      </w:r>
    </w:p>
    <w:p w14:paraId="3F6D4CEB" w14:textId="77777777" w:rsidR="00191ABF" w:rsidRPr="0050243A" w:rsidRDefault="00191ABF" w:rsidP="008546EF">
      <w:pPr>
        <w:ind w:left="567" w:right="645"/>
        <w:rPr>
          <w:color w:val="000000" w:themeColor="text1"/>
          <w:sz w:val="20"/>
          <w:szCs w:val="20"/>
        </w:rPr>
      </w:pPr>
    </w:p>
    <w:p w14:paraId="50EF376D" w14:textId="77777777" w:rsidR="00191ABF" w:rsidRDefault="00191ABF" w:rsidP="008546EF">
      <w:pPr>
        <w:ind w:right="78"/>
        <w:rPr>
          <w:b/>
          <w:bCs/>
          <w:color w:val="000000" w:themeColor="text1"/>
          <w:sz w:val="20"/>
          <w:szCs w:val="20"/>
        </w:rPr>
      </w:pPr>
      <w:r w:rsidRPr="0050243A">
        <w:rPr>
          <w:b/>
          <w:bCs/>
          <w:color w:val="000000" w:themeColor="text1"/>
          <w:sz w:val="20"/>
          <w:szCs w:val="20"/>
        </w:rPr>
        <w:t>1. Introduction</w:t>
      </w:r>
    </w:p>
    <w:p w14:paraId="6F3207FD" w14:textId="77777777" w:rsidR="00191ABF" w:rsidRPr="0050243A" w:rsidRDefault="00191ABF" w:rsidP="008546EF">
      <w:pPr>
        <w:ind w:right="78"/>
        <w:rPr>
          <w:b/>
          <w:bCs/>
          <w:color w:val="000000" w:themeColor="text1"/>
          <w:sz w:val="20"/>
          <w:szCs w:val="20"/>
        </w:rPr>
      </w:pPr>
    </w:p>
    <w:p w14:paraId="042E2918" w14:textId="77777777" w:rsidR="00191ABF" w:rsidRPr="0050243A" w:rsidRDefault="00191ABF" w:rsidP="008546EF">
      <w:pPr>
        <w:spacing w:line="324" w:lineRule="auto"/>
        <w:ind w:right="78"/>
        <w:jc w:val="both"/>
        <w:rPr>
          <w:color w:val="000000" w:themeColor="text1"/>
          <w:sz w:val="20"/>
          <w:szCs w:val="20"/>
        </w:rPr>
      </w:pPr>
      <w:r w:rsidRPr="0050243A">
        <w:rPr>
          <w:color w:val="000000" w:themeColor="text1"/>
          <w:sz w:val="20"/>
          <w:szCs w:val="20"/>
        </w:rPr>
        <w:t xml:space="preserve">Remittances particularly personal transfers sent by migrant workers to their countries of origin constitute a critical component of external financial inflows for developing economies such as Bangladesh </w:t>
      </w:r>
      <w:sdt>
        <w:sdtPr>
          <w:rPr>
            <w:color w:val="000000"/>
            <w:sz w:val="20"/>
            <w:szCs w:val="20"/>
          </w:rPr>
          <w:tag w:val="MENDELEY_CITATION_v3_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"/>
          <w:id w:val="1347683514"/>
          <w:placeholder>
            <w:docPart w:val="31E3ED1B8C5D4E5F964ED93C36DBD2A2"/>
          </w:placeholder>
        </w:sdtPr>
        <w:sdtContent>
          <w:r w:rsidRPr="0050243A">
            <w:rPr>
              <w:color w:val="000000"/>
              <w:sz w:val="20"/>
              <w:szCs w:val="20"/>
            </w:rPr>
            <w:t>(Barai, 2012)</w:t>
          </w:r>
        </w:sdtContent>
      </w:sdt>
      <w:r w:rsidRPr="0050243A">
        <w:rPr>
          <w:color w:val="000000" w:themeColor="text1"/>
          <w:sz w:val="20"/>
          <w:szCs w:val="20"/>
        </w:rPr>
        <w:t xml:space="preserve">. Personal remittances, as defined by the World Bank and IMF, </w:t>
      </w:r>
      <w:r w:rsidRPr="0050243A">
        <w:rPr>
          <w:color w:val="000000" w:themeColor="text1"/>
          <w:sz w:val="20"/>
          <w:szCs w:val="20"/>
        </w:rPr>
        <w:lastRenderedPageBreak/>
        <w:t>encompass both cash and in-kind transfers from migrants to resident households, and are recorded in the Balance of Payments under secondary income</w:t>
      </w:r>
      <w:sdt>
        <w:sdtPr>
          <w:rPr>
            <w:color w:val="000000"/>
            <w:sz w:val="20"/>
            <w:szCs w:val="20"/>
          </w:rPr>
          <w:tag w:val="MENDELEY_CITATION_v3_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"/>
          <w:id w:val="-356353177"/>
          <w:placeholder>
            <w:docPart w:val="31E3ED1B8C5D4E5F964ED93C36DBD2A2"/>
          </w:placeholder>
        </w:sdtPr>
        <w:sdtContent>
          <w:r w:rsidRPr="0050243A">
            <w:rPr>
              <w:color w:val="000000"/>
              <w:sz w:val="20"/>
              <w:szCs w:val="20"/>
            </w:rPr>
            <w:t>(Fullenkamp et al., 2008a; Ratha, 2005)</w:t>
          </w:r>
        </w:sdtContent>
      </w:sdt>
      <w:r w:rsidRPr="0050243A">
        <w:rPr>
          <w:color w:val="000000" w:themeColor="text1"/>
          <w:sz w:val="20"/>
          <w:szCs w:val="20"/>
        </w:rPr>
        <w:t xml:space="preserve">. These transfers have grown to become a major driver of socioeconomic development, fostering economic growth, alleviating poverty, and supporting human capital investments such as education and healthcare </w:t>
      </w:r>
      <w:sdt>
        <w:sdtPr>
          <w:rPr>
            <w:color w:val="000000"/>
            <w:sz w:val="20"/>
            <w:szCs w:val="20"/>
          </w:rPr>
          <w:tag w:val="MENDELEY_CITATION_v3_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"/>
          <w:id w:val="2080169528"/>
          <w:placeholder>
            <w:docPart w:val="CC62737423094348A3BA2A404BD69587"/>
          </w:placeholder>
        </w:sdtPr>
        <w:sdtContent>
          <w:r w:rsidRPr="0050243A">
            <w:rPr>
              <w:color w:val="000000"/>
              <w:sz w:val="20"/>
              <w:szCs w:val="20"/>
            </w:rPr>
            <w:t>(Ratha et al., 2024)</w:t>
          </w:r>
        </w:sdtContent>
      </w:sdt>
      <w:r w:rsidRPr="0050243A">
        <w:rPr>
          <w:color w:val="000000" w:themeColor="text1"/>
          <w:sz w:val="20"/>
          <w:szCs w:val="20"/>
        </w:rPr>
        <w:t xml:space="preserve">. In the context of Bangladesh, remittances are widely recognized as a cornerstone of economic resilience, often requiring no further justification for their relevance </w:t>
      </w:r>
      <w:sdt>
        <w:sdtPr>
          <w:rPr>
            <w:color w:val="000000"/>
            <w:sz w:val="20"/>
            <w:szCs w:val="20"/>
          </w:rPr>
          <w:tag w:val="MENDELEY_CITATION_v3_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"/>
          <w:id w:val="280535725"/>
          <w:placeholder>
            <w:docPart w:val="CF91510546E848A49CB5FBA8A3541CC3"/>
          </w:placeholder>
        </w:sdtPr>
        <w:sdtContent>
          <w:r w:rsidRPr="0050243A">
            <w:rPr>
              <w:color w:val="000000"/>
              <w:sz w:val="20"/>
              <w:szCs w:val="20"/>
            </w:rPr>
            <w:t>(Saima Munawar et al., 2021)</w:t>
          </w:r>
        </w:sdtContent>
      </w:sdt>
      <w:r w:rsidRPr="0050243A">
        <w:rPr>
          <w:color w:val="000000" w:themeColor="text1"/>
          <w:sz w:val="20"/>
          <w:szCs w:val="20"/>
        </w:rPr>
        <w:t xml:space="preserve">. In 2021 alone, Bangladesh received an estimated USD 22.1 billion in remittance inflows, ranking 7th globally and 3rd in South Asia among remittance-receiving countries </w:t>
      </w:r>
      <w:sdt>
        <w:sdtPr>
          <w:rPr>
            <w:color w:val="000000"/>
            <w:sz w:val="20"/>
            <w:szCs w:val="20"/>
          </w:rPr>
          <w:tag w:val="MENDELEY_CITATION_v3_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"/>
          <w:id w:val="-58942640"/>
          <w:placeholder>
            <w:docPart w:val="1D69FC5D8827472AA771D893E68A6CA8"/>
          </w:placeholder>
        </w:sdtPr>
        <w:sdtContent>
          <w:r w:rsidRPr="0050243A">
            <w:rPr>
              <w:color w:val="000000"/>
              <w:sz w:val="20"/>
              <w:szCs w:val="20"/>
            </w:rPr>
            <w:t>(Bank, 2021)</w:t>
          </w:r>
        </w:sdtContent>
      </w:sdt>
      <w:r w:rsidRPr="0050243A">
        <w:rPr>
          <w:color w:val="000000" w:themeColor="text1"/>
          <w:sz w:val="20"/>
          <w:szCs w:val="20"/>
        </w:rPr>
        <w:t xml:space="preserve">. After readymade garment exports, remittances represent the second-largest source of foreign exchange earnings for the country </w:t>
      </w:r>
      <w:sdt>
        <w:sdtPr>
          <w:rPr>
            <w:color w:val="000000"/>
            <w:sz w:val="20"/>
            <w:szCs w:val="20"/>
          </w:rPr>
          <w:tag w:val="MENDELEY_CITATION_v3_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"/>
          <w:id w:val="-2092698880"/>
          <w:placeholder>
            <w:docPart w:val="D5A05722A31F47E08EDD7B1FB422301B"/>
          </w:placeholder>
        </w:sdtPr>
        <w:sdtContent>
          <w:r w:rsidRPr="0050243A">
            <w:rPr>
              <w:color w:val="000000"/>
              <w:sz w:val="20"/>
              <w:szCs w:val="20"/>
            </w:rPr>
            <w:t>(Rahman &amp; Habib, 2021)</w:t>
          </w:r>
        </w:sdtContent>
      </w:sdt>
      <w:r w:rsidRPr="0050243A">
        <w:rPr>
          <w:color w:val="000000" w:themeColor="text1"/>
          <w:sz w:val="20"/>
          <w:szCs w:val="20"/>
        </w:rPr>
        <w:t xml:space="preserve">. With a large labor force employed overseas, remittance inflows provide vital support for millions of households, securing steady income for consumption, education, and medical needs. Beyond their microeconomic benefits, remittances bolster foreign exchange reserves, improve the balance of payments, and enhance macroeconomic stability. As such, they hold significant implications for national financial planning and policy design </w:t>
      </w:r>
      <w:sdt>
        <w:sdtPr>
          <w:rPr>
            <w:color w:val="000000"/>
            <w:sz w:val="20"/>
            <w:szCs w:val="20"/>
          </w:rPr>
          <w:tag w:val="MENDELEY_CITATION_v3_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"/>
          <w:id w:val="-252671444"/>
          <w:placeholder>
            <w:docPart w:val="024ED81F9DD740A8B9DA7F682AD41C50"/>
          </w:placeholder>
        </w:sdtPr>
        <w:sdtContent>
          <w:r w:rsidRPr="0050243A">
            <w:rPr>
              <w:color w:val="000000"/>
              <w:sz w:val="20"/>
              <w:szCs w:val="20"/>
            </w:rPr>
            <w:t>(Hasan et al., 2019)</w:t>
          </w:r>
        </w:sdtContent>
      </w:sdt>
      <w:r w:rsidRPr="0050243A">
        <w:rPr>
          <w:color w:val="000000" w:themeColor="text1"/>
          <w:sz w:val="20"/>
          <w:szCs w:val="20"/>
        </w:rPr>
        <w:t xml:space="preserve">. Encouraging remittance inflows is thus essential for sustaining a robust external sector and reducing dependency on foreign aid </w:t>
      </w:r>
      <w:sdt>
        <w:sdtPr>
          <w:rPr>
            <w:color w:val="000000"/>
            <w:sz w:val="20"/>
            <w:szCs w:val="20"/>
          </w:rPr>
          <w:tag w:val="MENDELEY_CITATION_v3_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"/>
          <w:id w:val="148026606"/>
          <w:placeholder>
            <w:docPart w:val="E08F7031C0ED4C548EF18C3D752F6CE3"/>
          </w:placeholder>
        </w:sdtPr>
        <w:sdtContent>
          <w:r w:rsidRPr="0050243A">
            <w:rPr>
              <w:color w:val="000000"/>
              <w:sz w:val="20"/>
              <w:szCs w:val="20"/>
            </w:rPr>
            <w:t>(“COVID-19 Crisis Through a Migration Lens,” 2020)</w:t>
          </w:r>
        </w:sdtContent>
      </w:sdt>
      <w:r w:rsidRPr="0050243A">
        <w:rPr>
          <w:color w:val="000000" w:themeColor="text1"/>
          <w:sz w:val="20"/>
          <w:szCs w:val="20"/>
        </w:rPr>
        <w:t>.</w:t>
      </w:r>
    </w:p>
    <w:p w14:paraId="79EB1EAF" w14:textId="77777777" w:rsidR="00191ABF" w:rsidRPr="0050243A" w:rsidRDefault="00191ABF" w:rsidP="008546EF">
      <w:pPr>
        <w:ind w:right="78"/>
        <w:jc w:val="both"/>
        <w:rPr>
          <w:color w:val="000000" w:themeColor="text1"/>
          <w:sz w:val="20"/>
          <w:szCs w:val="20"/>
        </w:rPr>
      </w:pPr>
    </w:p>
    <w:p w14:paraId="4C051CC7" w14:textId="77777777" w:rsidR="00191ABF" w:rsidRDefault="00191ABF" w:rsidP="008546EF">
      <w:pPr>
        <w:spacing w:line="324" w:lineRule="auto"/>
        <w:ind w:right="78"/>
        <w:jc w:val="both"/>
        <w:rPr>
          <w:color w:val="000000" w:themeColor="text1"/>
          <w:sz w:val="20"/>
          <w:szCs w:val="20"/>
        </w:rPr>
      </w:pPr>
      <w:r w:rsidRPr="0050243A">
        <w:rPr>
          <w:color w:val="000000" w:themeColor="text1"/>
          <w:sz w:val="20"/>
          <w:szCs w:val="20"/>
        </w:rPr>
        <w:t xml:space="preserve">Remittances have increasingly become a dominant source of foreign financial inflows, often surpassing official development assistance and approaching the scale of foreign direct investment (FDI) in many low- and middle-income countries </w:t>
      </w:r>
      <w:sdt>
        <w:sdtPr>
          <w:rPr>
            <w:color w:val="000000"/>
            <w:sz w:val="20"/>
            <w:szCs w:val="20"/>
          </w:rPr>
          <w:tag w:val="MENDELEY_CITATION_v3_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"/>
          <w:id w:val="649726660"/>
          <w:placeholder>
            <w:docPart w:val="31E3ED1B8C5D4E5F964ED93C36DBD2A2"/>
          </w:placeholder>
        </w:sdtPr>
        <w:sdtContent>
          <w:r w:rsidRPr="0050243A">
            <w:rPr>
              <w:color w:val="000000"/>
              <w:sz w:val="20"/>
              <w:szCs w:val="20"/>
            </w:rPr>
            <w:t>(Ratha et al., 2023)</w:t>
          </w:r>
        </w:sdtContent>
      </w:sdt>
      <w:r w:rsidRPr="0050243A">
        <w:rPr>
          <w:color w:val="000000" w:themeColor="text1"/>
          <w:sz w:val="20"/>
          <w:szCs w:val="20"/>
        </w:rPr>
        <w:t xml:space="preserve">. The motivations behind remittance transfers are complex and multifactorial, commonly attributed to altruism, investment, insurance against economic shocks, and portfolio diversification </w:t>
      </w:r>
      <w:sdt>
        <w:sdtPr>
          <w:rPr>
            <w:color w:val="000000"/>
            <w:sz w:val="20"/>
            <w:szCs w:val="20"/>
          </w:rPr>
          <w:tag w:val="MENDELEY_CITATION_v3_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"/>
          <w:id w:val="237060950"/>
          <w:placeholder>
            <w:docPart w:val="31E3ED1B8C5D4E5F964ED93C36DBD2A2"/>
          </w:placeholder>
        </w:sdtPr>
        <w:sdtContent>
          <w:r w:rsidRPr="0050243A">
            <w:rPr>
              <w:color w:val="000000"/>
              <w:sz w:val="20"/>
              <w:szCs w:val="20"/>
            </w:rPr>
            <w:t>(Carling, 2008; Hagen-Zanker &amp; Siegel, 2007)</w:t>
          </w:r>
        </w:sdtContent>
      </w:sdt>
      <w:r w:rsidRPr="0050243A">
        <w:rPr>
          <w:color w:val="000000" w:themeColor="text1"/>
          <w:sz w:val="20"/>
          <w:szCs w:val="20"/>
        </w:rPr>
        <w:t xml:space="preserve">. Extensive research highlights the multifaceted macroeconomic impacts of remittances. On the positive side, remittances contribute significantly to poverty reduction, enhance access to education and healthcare, and stimulate domestic consumption </w:t>
      </w:r>
      <w:sdt>
        <w:sdtPr>
          <w:rPr>
            <w:color w:val="000000"/>
            <w:sz w:val="20"/>
            <w:szCs w:val="20"/>
          </w:rPr>
          <w:tag w:val="MENDELEY_CITATION_v3_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"/>
          <w:id w:val="115350121"/>
          <w:placeholder>
            <w:docPart w:val="31E3ED1B8C5D4E5F964ED93C36DBD2A2"/>
          </w:placeholder>
        </w:sdtPr>
        <w:sdtContent>
          <w:r w:rsidRPr="0050243A">
            <w:rPr>
              <w:color w:val="000000"/>
              <w:sz w:val="20"/>
              <w:szCs w:val="20"/>
            </w:rPr>
            <w:t xml:space="preserve">(Adams &amp; </w:t>
          </w:r>
          <w:proofErr w:type="spellStart"/>
          <w:r w:rsidRPr="0050243A">
            <w:rPr>
              <w:color w:val="000000"/>
              <w:sz w:val="20"/>
              <w:szCs w:val="20"/>
            </w:rPr>
            <w:t>Cuecuecha</w:t>
          </w:r>
          <w:proofErr w:type="spellEnd"/>
          <w:r w:rsidRPr="0050243A">
            <w:rPr>
              <w:color w:val="000000"/>
              <w:sz w:val="20"/>
              <w:szCs w:val="20"/>
            </w:rPr>
            <w:t>, 2013)</w:t>
          </w:r>
        </w:sdtContent>
      </w:sdt>
      <w:r w:rsidRPr="0050243A">
        <w:rPr>
          <w:color w:val="000000" w:themeColor="text1"/>
          <w:sz w:val="20"/>
          <w:szCs w:val="20"/>
        </w:rPr>
        <w:t xml:space="preserve">. However, scholars also caution about potential adverse effects, such as increased dependency among recipients, reduced labor force participation, and inflationary pressures in local economies </w:t>
      </w:r>
      <w:sdt>
        <w:sdtPr>
          <w:rPr>
            <w:color w:val="000000"/>
            <w:sz w:val="20"/>
            <w:szCs w:val="20"/>
          </w:rPr>
          <w:tag w:val="MENDELEY_CITATION_v3_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"/>
          <w:id w:val="452528483"/>
          <w:placeholder>
            <w:docPart w:val="31E3ED1B8C5D4E5F964ED93C36DBD2A2"/>
          </w:placeholder>
        </w:sdtPr>
        <w:sdtContent>
          <w:r w:rsidRPr="0050243A">
            <w:rPr>
              <w:color w:val="000000"/>
              <w:sz w:val="20"/>
              <w:szCs w:val="20"/>
            </w:rPr>
            <w:t>(Fullenkamp et al., 2008b)</w:t>
          </w:r>
        </w:sdtContent>
      </w:sdt>
      <w:r w:rsidRPr="0050243A">
        <w:rPr>
          <w:color w:val="000000" w:themeColor="text1"/>
          <w:sz w:val="20"/>
          <w:szCs w:val="20"/>
        </w:rPr>
        <w:t>.</w:t>
      </w:r>
    </w:p>
    <w:p w14:paraId="1A6E10AF" w14:textId="77777777" w:rsidR="009065FD" w:rsidRPr="0050243A" w:rsidRDefault="009065FD" w:rsidP="008546EF">
      <w:pPr>
        <w:ind w:right="78"/>
        <w:jc w:val="both"/>
        <w:rPr>
          <w:color w:val="000000" w:themeColor="text1"/>
          <w:sz w:val="20"/>
          <w:szCs w:val="20"/>
        </w:rPr>
      </w:pPr>
    </w:p>
    <w:p w14:paraId="3B8D5D52" w14:textId="6747A3F9" w:rsidR="009065FD" w:rsidRPr="0050243A" w:rsidRDefault="00191ABF" w:rsidP="008546EF">
      <w:pPr>
        <w:pStyle w:val="NormalWeb"/>
        <w:spacing w:before="0" w:beforeAutospacing="0" w:after="0" w:afterAutospacing="0" w:line="324" w:lineRule="auto"/>
        <w:ind w:right="78"/>
        <w:jc w:val="both"/>
        <w:rPr>
          <w:color w:val="000000" w:themeColor="text1"/>
          <w:sz w:val="20"/>
          <w:szCs w:val="20"/>
        </w:rPr>
      </w:pPr>
      <w:r w:rsidRPr="0050243A">
        <w:rPr>
          <w:color w:val="000000" w:themeColor="text1"/>
          <w:sz w:val="20"/>
          <w:szCs w:val="20"/>
        </w:rPr>
        <w:t xml:space="preserve">In the Americas, especially in countries like Mexico, El Salvador, and Guatemala, remittances account for a significant share of national GDP. Recent literature underscores their impact on household expenditure patterns, with increased allocation toward education, healthcare, housing, and even small-scale business investments </w:t>
      </w:r>
      <w:sdt>
        <w:sdtPr>
          <w:rPr>
            <w:color w:val="000000"/>
            <w:sz w:val="20"/>
            <w:szCs w:val="20"/>
          </w:rPr>
          <w:tag w:val="MENDELEY_CITATION_v3_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"/>
          <w:id w:val="1756544595"/>
          <w:placeholder>
            <w:docPart w:val="31E3ED1B8C5D4E5F964ED93C36DBD2A2"/>
          </w:placeholder>
        </w:sdtPr>
        <w:sdtContent>
          <w:r w:rsidRPr="0050243A">
            <w:rPr>
              <w:color w:val="000000"/>
              <w:sz w:val="20"/>
              <w:szCs w:val="20"/>
            </w:rPr>
            <w:t>(</w:t>
          </w:r>
          <w:proofErr w:type="spellStart"/>
          <w:r w:rsidRPr="0050243A">
            <w:rPr>
              <w:color w:val="000000"/>
              <w:sz w:val="20"/>
              <w:szCs w:val="20"/>
            </w:rPr>
            <w:t>Amuedo</w:t>
          </w:r>
          <w:proofErr w:type="spellEnd"/>
          <w:r w:rsidRPr="0050243A">
            <w:rPr>
              <w:color w:val="000000"/>
              <w:sz w:val="20"/>
              <w:szCs w:val="20"/>
            </w:rPr>
            <w:t>-Dorantes &amp; Pozo, 2011)</w:t>
          </w:r>
        </w:sdtContent>
      </w:sdt>
      <w:r w:rsidRPr="0050243A">
        <w:rPr>
          <w:color w:val="000000" w:themeColor="text1"/>
          <w:sz w:val="20"/>
          <w:szCs w:val="20"/>
        </w:rPr>
        <w:t xml:space="preserve">. In Europe, particularly in Eastern European nations with high emigration rates, remittance inflows play a vital economic role. Studies in this region identify income levels, employment status, </w:t>
      </w:r>
      <w:r w:rsidRPr="0050243A">
        <w:rPr>
          <w:color w:val="000000" w:themeColor="text1"/>
          <w:sz w:val="20"/>
          <w:szCs w:val="20"/>
        </w:rPr>
        <w:lastRenderedPageBreak/>
        <w:t xml:space="preserve">legal status, and social integration of migrants as key determinants influencing remittance behavior </w:t>
      </w:r>
      <w:sdt>
        <w:sdtPr>
          <w:rPr>
            <w:color w:val="000000"/>
            <w:sz w:val="20"/>
            <w:szCs w:val="20"/>
          </w:rPr>
          <w:tag w:val="MENDELEY_CITATION_v3_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"/>
          <w:id w:val="1918595935"/>
          <w:placeholder>
            <w:docPart w:val="31E3ED1B8C5D4E5F964ED93C36DBD2A2"/>
          </w:placeholder>
        </w:sdtPr>
        <w:sdtContent>
          <w:r w:rsidRPr="0050243A">
            <w:rPr>
              <w:color w:val="000000"/>
              <w:sz w:val="20"/>
              <w:szCs w:val="20"/>
            </w:rPr>
            <w:t>(Meyer &amp; Shera, 2017)</w:t>
          </w:r>
        </w:sdtContent>
      </w:sdt>
      <w:r w:rsidRPr="0050243A">
        <w:rPr>
          <w:color w:val="000000" w:themeColor="text1"/>
          <w:sz w:val="20"/>
          <w:szCs w:val="20"/>
        </w:rPr>
        <w:t xml:space="preserve">. </w:t>
      </w:r>
    </w:p>
    <w:p w14:paraId="2BCBBF5E" w14:textId="77777777" w:rsidR="00191ABF" w:rsidRPr="0050243A" w:rsidRDefault="00191ABF" w:rsidP="008546EF">
      <w:pPr>
        <w:spacing w:line="324" w:lineRule="auto"/>
        <w:ind w:right="78"/>
        <w:jc w:val="both"/>
        <w:rPr>
          <w:color w:val="000000" w:themeColor="text1"/>
          <w:sz w:val="20"/>
          <w:szCs w:val="20"/>
        </w:rPr>
      </w:pPr>
      <w:r w:rsidRPr="0050243A">
        <w:rPr>
          <w:color w:val="000000" w:themeColor="text1"/>
          <w:sz w:val="20"/>
          <w:szCs w:val="20"/>
        </w:rPr>
        <w:t xml:space="preserve">Bangladesh ranks among the top global remittance-receiving countries. Empirical studies have consistently demonstrated the positive contribution of remittances to household welfare, poverty alleviation, and macroeconomic stability </w:t>
      </w:r>
      <w:sdt>
        <w:sdtPr>
          <w:rPr>
            <w:color w:val="000000"/>
            <w:sz w:val="20"/>
            <w:szCs w:val="20"/>
          </w:rPr>
          <w:tag w:val="MENDELEY_CITATION_v3_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"/>
          <w:id w:val="-421877924"/>
          <w:placeholder>
            <w:docPart w:val="31E3ED1B8C5D4E5F964ED93C36DBD2A2"/>
          </w:placeholder>
        </w:sdtPr>
        <w:sdtContent>
          <w:r w:rsidRPr="0050243A">
            <w:rPr>
              <w:color w:val="000000"/>
              <w:sz w:val="20"/>
              <w:szCs w:val="20"/>
            </w:rPr>
            <w:t>(Siddiqui, 2016)</w:t>
          </w:r>
        </w:sdtContent>
      </w:sdt>
      <w:r w:rsidRPr="0050243A">
        <w:rPr>
          <w:color w:val="000000" w:themeColor="text1"/>
          <w:sz w:val="20"/>
          <w:szCs w:val="20"/>
        </w:rPr>
        <w:t xml:space="preserve">. For instance, Mahmud et al. </w:t>
      </w:r>
      <w:sdt>
        <w:sdtPr>
          <w:rPr>
            <w:color w:val="000000"/>
            <w:sz w:val="20"/>
            <w:szCs w:val="20"/>
          </w:rPr>
          <w:tag w:val="MENDELEY_CITATION_v3_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"/>
          <w:id w:val="-600876277"/>
          <w:placeholder>
            <w:docPart w:val="31E3ED1B8C5D4E5F964ED93C36DBD2A2"/>
          </w:placeholder>
        </w:sdtPr>
        <w:sdtContent>
          <w:r w:rsidRPr="0050243A">
            <w:rPr>
              <w:color w:val="000000"/>
              <w:sz w:val="20"/>
              <w:szCs w:val="20"/>
            </w:rPr>
            <w:t>(</w:t>
          </w:r>
          <w:proofErr w:type="spellStart"/>
          <w:r w:rsidRPr="0050243A">
            <w:rPr>
              <w:color w:val="000000"/>
              <w:sz w:val="20"/>
              <w:szCs w:val="20"/>
            </w:rPr>
            <w:t>Saptono</w:t>
          </w:r>
          <w:proofErr w:type="spellEnd"/>
          <w:r w:rsidRPr="0050243A">
            <w:rPr>
              <w:color w:val="000000"/>
              <w:sz w:val="20"/>
              <w:szCs w:val="20"/>
            </w:rPr>
            <w:t xml:space="preserve"> et al., 2022)</w:t>
          </w:r>
        </w:sdtContent>
      </w:sdt>
      <w:r w:rsidRPr="0050243A">
        <w:rPr>
          <w:color w:val="000000" w:themeColor="text1"/>
          <w:sz w:val="20"/>
          <w:szCs w:val="20"/>
        </w:rPr>
        <w:t xml:space="preserve"> found that remittance-receiving households in Bangladesh enjoy higher standards of living, increased consumption, and improved human capital outcomes. Additionally, recent policy interventions, such as the 2% cash incentive introduced by the government to encourage remittance through formal channels, have shown measurable success in boosting formal remittance inflows </w:t>
      </w:r>
      <w:sdt>
        <w:sdtPr>
          <w:rPr>
            <w:color w:val="000000"/>
            <w:sz w:val="20"/>
            <w:szCs w:val="20"/>
          </w:rPr>
          <w:tag w:val="MENDELEY_CITATION_v3_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"/>
          <w:id w:val="-555701659"/>
          <w:placeholder>
            <w:docPart w:val="979125E5EA4B444394E189BEAA36B986"/>
          </w:placeholder>
        </w:sdtPr>
        <w:sdtContent>
          <w:r w:rsidRPr="0050243A">
            <w:rPr>
              <w:color w:val="000000"/>
              <w:sz w:val="20"/>
              <w:szCs w:val="20"/>
            </w:rPr>
            <w:t>(Dey &amp; Basak, 2024)</w:t>
          </w:r>
        </w:sdtContent>
      </w:sdt>
      <w:r w:rsidRPr="0050243A">
        <w:rPr>
          <w:color w:val="000000" w:themeColor="text1"/>
          <w:sz w:val="20"/>
          <w:szCs w:val="20"/>
        </w:rPr>
        <w:t xml:space="preserve">  .</w:t>
      </w:r>
    </w:p>
    <w:p w14:paraId="4279346B" w14:textId="77777777" w:rsidR="00191ABF" w:rsidRPr="0050243A" w:rsidRDefault="00191ABF" w:rsidP="008546EF">
      <w:pPr>
        <w:ind w:right="78"/>
        <w:jc w:val="both"/>
        <w:rPr>
          <w:color w:val="000000" w:themeColor="text1"/>
          <w:sz w:val="20"/>
          <w:szCs w:val="20"/>
        </w:rPr>
      </w:pPr>
    </w:p>
    <w:p w14:paraId="3EDCBA59" w14:textId="77777777" w:rsidR="00191ABF" w:rsidRDefault="00191ABF" w:rsidP="008546EF">
      <w:pPr>
        <w:spacing w:line="324" w:lineRule="auto"/>
        <w:ind w:right="78"/>
        <w:jc w:val="both"/>
        <w:rPr>
          <w:color w:val="000000" w:themeColor="text1"/>
          <w:sz w:val="20"/>
          <w:szCs w:val="20"/>
        </w:rPr>
      </w:pPr>
      <w:r w:rsidRPr="0050243A">
        <w:rPr>
          <w:color w:val="000000" w:themeColor="text1"/>
          <w:sz w:val="20"/>
          <w:szCs w:val="20"/>
        </w:rPr>
        <w:t xml:space="preserve">Despite the critical role of remittances in macroeconomic stability and household welfare, there remains a significant gap in the precise estimation and forecasting of remittance inflows, particularly in developing economies like Bangladesh. This inadequacy hinders the efficient allocation and strategic utilization of remittances for sustainable national development. Accurate modeling is essential for informing public policy, optimizing foreign exchange management, and maximizing the socio-economic returns of remittances </w:t>
      </w:r>
      <w:sdt>
        <w:sdtPr>
          <w:rPr>
            <w:color w:val="000000"/>
            <w:sz w:val="20"/>
            <w:szCs w:val="20"/>
          </w:rPr>
          <w:tag w:val="MENDELEY_CITATION_v3_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"/>
          <w:id w:val="1592889498"/>
          <w:placeholder>
            <w:docPart w:val="31E3ED1B8C5D4E5F964ED93C36DBD2A2"/>
          </w:placeholder>
        </w:sdtPr>
        <w:sdtContent>
          <w:r w:rsidRPr="0050243A">
            <w:rPr>
              <w:color w:val="000000"/>
              <w:sz w:val="20"/>
              <w:szCs w:val="20"/>
            </w:rPr>
            <w:t>(Barajas et al., 2016; Ratha, 2013)</w:t>
          </w:r>
        </w:sdtContent>
      </w:sdt>
      <w:r w:rsidRPr="0050243A">
        <w:rPr>
          <w:color w:val="000000" w:themeColor="text1"/>
          <w:sz w:val="20"/>
          <w:szCs w:val="20"/>
        </w:rPr>
        <w:t xml:space="preserve">. However, the complex and dynamic interactions between remittance inflows and their potential determinants such as exchange rates, inflation, employment trends, and institutional quality are often nonlinear and time-varying, making conventional linear models insufficient for capturing these relationships </w:t>
      </w:r>
      <w:sdt>
        <w:sdtPr>
          <w:rPr>
            <w:color w:val="000000"/>
            <w:sz w:val="20"/>
            <w:szCs w:val="20"/>
          </w:rPr>
          <w:tag w:val="MENDELEY_CITATION_v3_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"/>
          <w:id w:val="1961137819"/>
          <w:placeholder>
            <w:docPart w:val="31E3ED1B8C5D4E5F964ED93C36DBD2A2"/>
          </w:placeholder>
        </w:sdtPr>
        <w:sdtContent>
          <w:r w:rsidRPr="0050243A">
            <w:rPr>
              <w:color w:val="000000"/>
              <w:sz w:val="20"/>
              <w:szCs w:val="20"/>
            </w:rPr>
            <w:t>(Chami et al., 2005)</w:t>
          </w:r>
        </w:sdtContent>
      </w:sdt>
      <w:r w:rsidRPr="0050243A">
        <w:rPr>
          <w:color w:val="000000" w:themeColor="text1"/>
          <w:sz w:val="20"/>
          <w:szCs w:val="20"/>
        </w:rPr>
        <w:t xml:space="preserve">. To address this limitation, nonlinear multiple time series approaches, particularly the TVAR model, offer a robust framework for uncovering structural breaks and regime-dependent dynamics in remittance behavior. The TVAR model allows for the modeling of asymmetries in response to shocks across different economic regimes, making it particularly relevant for economies experiencing volatility or abrupt policy changes </w:t>
      </w:r>
      <w:sdt>
        <w:sdtPr>
          <w:rPr>
            <w:color w:val="000000"/>
            <w:sz w:val="20"/>
            <w:szCs w:val="20"/>
          </w:rPr>
          <w:tag w:val="MENDELEY_CITATION_v3_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"/>
          <w:id w:val="-1735003936"/>
          <w:placeholder>
            <w:docPart w:val="31E3ED1B8C5D4E5F964ED93C36DBD2A2"/>
          </w:placeholder>
        </w:sdtPr>
        <w:sdtContent>
          <w:r w:rsidRPr="0050243A">
            <w:rPr>
              <w:color w:val="000000"/>
              <w:sz w:val="20"/>
              <w:szCs w:val="20"/>
            </w:rPr>
            <w:t>(Balke, 2000; Hansen, 1999)</w:t>
          </w:r>
        </w:sdtContent>
      </w:sdt>
      <w:r w:rsidRPr="0050243A">
        <w:rPr>
          <w:color w:val="000000" w:themeColor="text1"/>
          <w:sz w:val="20"/>
          <w:szCs w:val="20"/>
        </w:rPr>
        <w:t>. This study aims to investigate the dynamics of remittance inflows in Bangladesh by analyzing long-term trends, identifying key macroeconomic and institutional determinants, and applying a nonlinear multiple time series approach specifically, the TVAR model to capture regime-dependent relationships. By reveling the structural behavior of remittances across different economic conditions, the research intends to enhance the effectiveness of public financial management, enhance policy transparency, and support the development of evidence-based strategies aligned with Bangladesh’s long-term national development priorities.</w:t>
      </w:r>
    </w:p>
    <w:p w14:paraId="144FF94B" w14:textId="77777777" w:rsidR="009065FD" w:rsidRDefault="009065FD" w:rsidP="008546EF">
      <w:pPr>
        <w:ind w:right="78"/>
        <w:jc w:val="both"/>
        <w:rPr>
          <w:color w:val="000000" w:themeColor="text1"/>
          <w:sz w:val="20"/>
          <w:szCs w:val="20"/>
        </w:rPr>
      </w:pPr>
    </w:p>
    <w:p w14:paraId="2AC853F2" w14:textId="77777777" w:rsidR="005A5301" w:rsidRDefault="005A5301">
      <w:pPr>
        <w:rPr>
          <w:b/>
          <w:bCs/>
          <w:color w:val="000000" w:themeColor="text1"/>
          <w:sz w:val="20"/>
          <w:szCs w:val="20"/>
        </w:rPr>
      </w:pPr>
      <w:r>
        <w:rPr>
          <w:b/>
          <w:bCs/>
          <w:color w:val="000000" w:themeColor="text1"/>
          <w:sz w:val="20"/>
          <w:szCs w:val="20"/>
        </w:rPr>
        <w:br w:type="page"/>
      </w:r>
    </w:p>
    <w:p w14:paraId="34E5BB21" w14:textId="31F8A46A" w:rsidR="00191ABF" w:rsidRDefault="00191ABF" w:rsidP="008546EF">
      <w:pPr>
        <w:pStyle w:val="BodyText"/>
        <w:spacing w:after="0"/>
        <w:ind w:right="78"/>
        <w:rPr>
          <w:b/>
          <w:bCs/>
          <w:color w:val="000000" w:themeColor="text1"/>
          <w:sz w:val="20"/>
          <w:szCs w:val="20"/>
        </w:rPr>
      </w:pPr>
      <w:r w:rsidRPr="0050243A">
        <w:rPr>
          <w:b/>
          <w:bCs/>
          <w:color w:val="000000" w:themeColor="text1"/>
          <w:sz w:val="20"/>
          <w:szCs w:val="20"/>
        </w:rPr>
        <w:lastRenderedPageBreak/>
        <w:t>2. Method and Materials</w:t>
      </w:r>
    </w:p>
    <w:p w14:paraId="00FB9F5F" w14:textId="77777777" w:rsidR="009065FD" w:rsidRPr="0050243A" w:rsidRDefault="009065FD" w:rsidP="008546EF">
      <w:pPr>
        <w:pStyle w:val="BodyText"/>
        <w:spacing w:after="0"/>
        <w:ind w:right="78"/>
        <w:rPr>
          <w:b/>
          <w:bCs/>
          <w:color w:val="000000" w:themeColor="text1"/>
          <w:sz w:val="20"/>
          <w:szCs w:val="20"/>
        </w:rPr>
      </w:pPr>
    </w:p>
    <w:p w14:paraId="6C48AFCF" w14:textId="77777777" w:rsidR="00191ABF" w:rsidRPr="009065FD" w:rsidRDefault="00191ABF" w:rsidP="008546EF">
      <w:pPr>
        <w:ind w:right="78"/>
        <w:rPr>
          <w:b/>
          <w:bCs/>
          <w:i/>
          <w:iCs/>
          <w:color w:val="000000" w:themeColor="text1"/>
          <w:sz w:val="20"/>
          <w:szCs w:val="20"/>
        </w:rPr>
      </w:pPr>
      <w:r w:rsidRPr="009065FD">
        <w:rPr>
          <w:b/>
          <w:bCs/>
          <w:i/>
          <w:iCs/>
          <w:color w:val="000000" w:themeColor="text1"/>
          <w:sz w:val="20"/>
          <w:szCs w:val="20"/>
        </w:rPr>
        <w:t>2.1 Data and Variable</w:t>
      </w:r>
    </w:p>
    <w:p w14:paraId="1EF53F40" w14:textId="77777777" w:rsidR="009065FD" w:rsidRPr="0050243A" w:rsidRDefault="009065FD" w:rsidP="008546EF">
      <w:pPr>
        <w:ind w:right="78"/>
        <w:rPr>
          <w:b/>
          <w:bCs/>
          <w:color w:val="000000" w:themeColor="text1"/>
          <w:sz w:val="20"/>
          <w:szCs w:val="20"/>
        </w:rPr>
      </w:pPr>
    </w:p>
    <w:p w14:paraId="3B8D9BB3" w14:textId="77777777" w:rsidR="00191ABF" w:rsidRPr="0050243A" w:rsidRDefault="00191ABF" w:rsidP="008546EF">
      <w:pPr>
        <w:spacing w:line="324" w:lineRule="auto"/>
        <w:ind w:right="78"/>
        <w:jc w:val="both"/>
        <w:rPr>
          <w:color w:val="000000" w:themeColor="text1"/>
          <w:sz w:val="20"/>
          <w:szCs w:val="20"/>
        </w:rPr>
      </w:pPr>
      <w:r w:rsidRPr="0050243A">
        <w:rPr>
          <w:color w:val="000000" w:themeColor="text1"/>
          <w:sz w:val="20"/>
          <w:szCs w:val="20"/>
        </w:rPr>
        <w:t>The study utilized annual time series data from 1996 to 2023, incorporating 11 variables. The dependent variable is the Remittances</w:t>
      </w:r>
      <w:r w:rsidRPr="0050243A">
        <w:rPr>
          <w:color w:val="000000" w:themeColor="text1"/>
          <w:spacing w:val="-2"/>
          <w:sz w:val="20"/>
          <w:szCs w:val="20"/>
        </w:rPr>
        <w:t xml:space="preserve"> </w:t>
      </w:r>
      <w:r w:rsidRPr="0050243A">
        <w:rPr>
          <w:color w:val="000000" w:themeColor="text1"/>
          <w:sz w:val="20"/>
          <w:szCs w:val="20"/>
        </w:rPr>
        <w:t>received</w:t>
      </w:r>
      <w:r w:rsidRPr="0050243A">
        <w:rPr>
          <w:color w:val="000000" w:themeColor="text1"/>
          <w:spacing w:val="-2"/>
          <w:sz w:val="20"/>
          <w:szCs w:val="20"/>
        </w:rPr>
        <w:t xml:space="preserve"> </w:t>
      </w:r>
      <w:r w:rsidRPr="0050243A">
        <w:rPr>
          <w:color w:val="000000" w:themeColor="text1"/>
          <w:sz w:val="20"/>
          <w:szCs w:val="20"/>
        </w:rPr>
        <w:t>(current</w:t>
      </w:r>
      <w:r w:rsidRPr="0050243A">
        <w:rPr>
          <w:color w:val="000000" w:themeColor="text1"/>
          <w:spacing w:val="-1"/>
          <w:sz w:val="20"/>
          <w:szCs w:val="20"/>
        </w:rPr>
        <w:t xml:space="preserve"> </w:t>
      </w:r>
      <w:r w:rsidRPr="0050243A">
        <w:rPr>
          <w:color w:val="000000" w:themeColor="text1"/>
          <w:sz w:val="20"/>
          <w:szCs w:val="20"/>
        </w:rPr>
        <w:t>US$ in</w:t>
      </w:r>
      <w:r w:rsidRPr="0050243A">
        <w:rPr>
          <w:color w:val="000000" w:themeColor="text1"/>
          <w:spacing w:val="-1"/>
          <w:sz w:val="20"/>
          <w:szCs w:val="20"/>
        </w:rPr>
        <w:t xml:space="preserve"> </w:t>
      </w:r>
      <w:r w:rsidRPr="0050243A">
        <w:rPr>
          <w:color w:val="000000" w:themeColor="text1"/>
          <w:spacing w:val="-2"/>
          <w:sz w:val="20"/>
          <w:szCs w:val="20"/>
        </w:rPr>
        <w:t>Billion)</w:t>
      </w:r>
      <w:r w:rsidRPr="0050243A">
        <w:rPr>
          <w:color w:val="000000" w:themeColor="text1"/>
          <w:sz w:val="20"/>
          <w:szCs w:val="20"/>
        </w:rPr>
        <w:t>. The independent variables include GDP</w:t>
      </w:r>
      <w:r w:rsidRPr="0050243A">
        <w:rPr>
          <w:color w:val="000000" w:themeColor="text1"/>
          <w:spacing w:val="-11"/>
          <w:sz w:val="20"/>
          <w:szCs w:val="20"/>
        </w:rPr>
        <w:t xml:space="preserve"> </w:t>
      </w:r>
      <w:r w:rsidRPr="0050243A">
        <w:rPr>
          <w:color w:val="000000" w:themeColor="text1"/>
          <w:sz w:val="20"/>
          <w:szCs w:val="20"/>
        </w:rPr>
        <w:t>per</w:t>
      </w:r>
      <w:r w:rsidRPr="0050243A">
        <w:rPr>
          <w:color w:val="000000" w:themeColor="text1"/>
          <w:spacing w:val="-2"/>
          <w:sz w:val="20"/>
          <w:szCs w:val="20"/>
        </w:rPr>
        <w:t xml:space="preserve"> </w:t>
      </w:r>
      <w:r w:rsidRPr="0050243A">
        <w:rPr>
          <w:color w:val="000000" w:themeColor="text1"/>
          <w:sz w:val="20"/>
          <w:szCs w:val="20"/>
        </w:rPr>
        <w:t>capita</w:t>
      </w:r>
      <w:r w:rsidRPr="0050243A">
        <w:rPr>
          <w:color w:val="000000" w:themeColor="text1"/>
          <w:spacing w:val="-3"/>
          <w:sz w:val="20"/>
          <w:szCs w:val="20"/>
        </w:rPr>
        <w:t xml:space="preserve"> </w:t>
      </w:r>
      <w:r w:rsidRPr="0050243A">
        <w:rPr>
          <w:color w:val="000000" w:themeColor="text1"/>
          <w:sz w:val="20"/>
          <w:szCs w:val="20"/>
        </w:rPr>
        <w:t>(current</w:t>
      </w:r>
      <w:r w:rsidRPr="0050243A">
        <w:rPr>
          <w:color w:val="000000" w:themeColor="text1"/>
          <w:spacing w:val="1"/>
          <w:sz w:val="20"/>
          <w:szCs w:val="20"/>
        </w:rPr>
        <w:t xml:space="preserve"> </w:t>
      </w:r>
      <w:r w:rsidRPr="0050243A">
        <w:rPr>
          <w:color w:val="000000" w:themeColor="text1"/>
          <w:spacing w:val="-4"/>
          <w:sz w:val="20"/>
          <w:szCs w:val="20"/>
        </w:rPr>
        <w:t>US$)</w:t>
      </w:r>
      <w:r w:rsidRPr="0050243A">
        <w:rPr>
          <w:color w:val="000000" w:themeColor="text1"/>
          <w:sz w:val="20"/>
          <w:szCs w:val="20"/>
        </w:rPr>
        <w:t>, Unemployment</w:t>
      </w:r>
      <w:r w:rsidRPr="0050243A">
        <w:rPr>
          <w:color w:val="000000" w:themeColor="text1"/>
          <w:spacing w:val="-1"/>
          <w:sz w:val="20"/>
          <w:szCs w:val="20"/>
        </w:rPr>
        <w:t xml:space="preserve"> </w:t>
      </w:r>
      <w:r w:rsidRPr="0050243A">
        <w:rPr>
          <w:color w:val="000000" w:themeColor="text1"/>
          <w:sz w:val="20"/>
          <w:szCs w:val="20"/>
        </w:rPr>
        <w:t>(% of</w:t>
      </w:r>
      <w:r w:rsidRPr="0050243A">
        <w:rPr>
          <w:color w:val="000000" w:themeColor="text1"/>
          <w:spacing w:val="-1"/>
          <w:sz w:val="20"/>
          <w:szCs w:val="20"/>
        </w:rPr>
        <w:t xml:space="preserve"> </w:t>
      </w:r>
      <w:r w:rsidRPr="0050243A">
        <w:rPr>
          <w:color w:val="000000" w:themeColor="text1"/>
          <w:sz w:val="20"/>
          <w:szCs w:val="20"/>
        </w:rPr>
        <w:t>total</w:t>
      </w:r>
      <w:r w:rsidRPr="0050243A">
        <w:rPr>
          <w:color w:val="000000" w:themeColor="text1"/>
          <w:spacing w:val="-1"/>
          <w:sz w:val="20"/>
          <w:szCs w:val="20"/>
        </w:rPr>
        <w:t xml:space="preserve"> </w:t>
      </w:r>
      <w:r w:rsidRPr="0050243A">
        <w:rPr>
          <w:color w:val="000000" w:themeColor="text1"/>
          <w:sz w:val="20"/>
          <w:szCs w:val="20"/>
        </w:rPr>
        <w:t>labor</w:t>
      </w:r>
      <w:r w:rsidRPr="0050243A">
        <w:rPr>
          <w:color w:val="000000" w:themeColor="text1"/>
          <w:spacing w:val="-1"/>
          <w:sz w:val="20"/>
          <w:szCs w:val="20"/>
        </w:rPr>
        <w:t xml:space="preserve"> </w:t>
      </w:r>
      <w:r w:rsidRPr="0050243A">
        <w:rPr>
          <w:color w:val="000000" w:themeColor="text1"/>
          <w:spacing w:val="-2"/>
          <w:sz w:val="20"/>
          <w:szCs w:val="20"/>
        </w:rPr>
        <w:t>force) (</w:t>
      </w:r>
      <w:proofErr w:type="spellStart"/>
      <w:r w:rsidRPr="0050243A">
        <w:rPr>
          <w:color w:val="000000" w:themeColor="text1"/>
          <w:spacing w:val="-2"/>
          <w:sz w:val="20"/>
          <w:szCs w:val="20"/>
        </w:rPr>
        <w:t>Unem_R</w:t>
      </w:r>
      <w:proofErr w:type="spellEnd"/>
      <w:r w:rsidRPr="0050243A">
        <w:rPr>
          <w:color w:val="000000" w:themeColor="text1"/>
          <w:spacing w:val="-2"/>
          <w:sz w:val="20"/>
          <w:szCs w:val="20"/>
        </w:rPr>
        <w:t xml:space="preserve">), </w:t>
      </w:r>
      <w:r w:rsidRPr="0050243A">
        <w:rPr>
          <w:color w:val="000000" w:themeColor="text1"/>
          <w:sz w:val="20"/>
          <w:szCs w:val="20"/>
        </w:rPr>
        <w:t>Official</w:t>
      </w:r>
      <w:r w:rsidRPr="0050243A">
        <w:rPr>
          <w:color w:val="000000" w:themeColor="text1"/>
          <w:spacing w:val="-1"/>
          <w:sz w:val="20"/>
          <w:szCs w:val="20"/>
        </w:rPr>
        <w:t xml:space="preserve"> </w:t>
      </w:r>
      <w:r w:rsidRPr="0050243A">
        <w:rPr>
          <w:color w:val="000000" w:themeColor="text1"/>
          <w:sz w:val="20"/>
          <w:szCs w:val="20"/>
        </w:rPr>
        <w:t>exchange</w:t>
      </w:r>
      <w:r w:rsidRPr="0050243A">
        <w:rPr>
          <w:color w:val="000000" w:themeColor="text1"/>
          <w:spacing w:val="-3"/>
          <w:sz w:val="20"/>
          <w:szCs w:val="20"/>
        </w:rPr>
        <w:t xml:space="preserve"> </w:t>
      </w:r>
      <w:r w:rsidRPr="0050243A">
        <w:rPr>
          <w:color w:val="000000" w:themeColor="text1"/>
          <w:sz w:val="20"/>
          <w:szCs w:val="20"/>
        </w:rPr>
        <w:t>rate</w:t>
      </w:r>
      <w:r w:rsidRPr="0050243A">
        <w:rPr>
          <w:color w:val="000000" w:themeColor="text1"/>
          <w:spacing w:val="-3"/>
          <w:sz w:val="20"/>
          <w:szCs w:val="20"/>
        </w:rPr>
        <w:t xml:space="preserve"> </w:t>
      </w:r>
      <w:r w:rsidRPr="0050243A">
        <w:rPr>
          <w:color w:val="000000" w:themeColor="text1"/>
          <w:sz w:val="20"/>
          <w:szCs w:val="20"/>
        </w:rPr>
        <w:t>(LCU</w:t>
      </w:r>
      <w:r w:rsidRPr="0050243A">
        <w:rPr>
          <w:color w:val="000000" w:themeColor="text1"/>
          <w:spacing w:val="-3"/>
          <w:sz w:val="20"/>
          <w:szCs w:val="20"/>
        </w:rPr>
        <w:t xml:space="preserve"> </w:t>
      </w:r>
      <w:r w:rsidRPr="0050243A">
        <w:rPr>
          <w:color w:val="000000" w:themeColor="text1"/>
          <w:sz w:val="20"/>
          <w:szCs w:val="20"/>
        </w:rPr>
        <w:t>per</w:t>
      </w:r>
      <w:r w:rsidRPr="0050243A">
        <w:rPr>
          <w:color w:val="000000" w:themeColor="text1"/>
          <w:spacing w:val="-2"/>
          <w:sz w:val="20"/>
          <w:szCs w:val="20"/>
        </w:rPr>
        <w:t xml:space="preserve"> </w:t>
      </w:r>
      <w:r w:rsidRPr="0050243A">
        <w:rPr>
          <w:color w:val="000000" w:themeColor="text1"/>
          <w:spacing w:val="-4"/>
          <w:sz w:val="20"/>
          <w:szCs w:val="20"/>
        </w:rPr>
        <w:t xml:space="preserve">US$), </w:t>
      </w:r>
      <w:r w:rsidRPr="0050243A">
        <w:rPr>
          <w:color w:val="000000" w:themeColor="text1"/>
          <w:sz w:val="20"/>
          <w:szCs w:val="20"/>
        </w:rPr>
        <w:t>Inflation, Lending</w:t>
      </w:r>
      <w:r w:rsidRPr="0050243A">
        <w:rPr>
          <w:color w:val="000000" w:themeColor="text1"/>
          <w:spacing w:val="-4"/>
          <w:sz w:val="20"/>
          <w:szCs w:val="20"/>
        </w:rPr>
        <w:t xml:space="preserve"> </w:t>
      </w:r>
      <w:r w:rsidRPr="0050243A">
        <w:rPr>
          <w:color w:val="000000" w:themeColor="text1"/>
          <w:sz w:val="20"/>
          <w:szCs w:val="20"/>
        </w:rPr>
        <w:t>interest</w:t>
      </w:r>
      <w:r w:rsidRPr="0050243A">
        <w:rPr>
          <w:color w:val="000000" w:themeColor="text1"/>
          <w:spacing w:val="-1"/>
          <w:sz w:val="20"/>
          <w:szCs w:val="20"/>
        </w:rPr>
        <w:t xml:space="preserve"> </w:t>
      </w:r>
      <w:r w:rsidRPr="0050243A">
        <w:rPr>
          <w:color w:val="000000" w:themeColor="text1"/>
          <w:sz w:val="20"/>
          <w:szCs w:val="20"/>
        </w:rPr>
        <w:t>rate</w:t>
      </w:r>
      <w:r w:rsidRPr="0050243A">
        <w:rPr>
          <w:color w:val="000000" w:themeColor="text1"/>
          <w:spacing w:val="-1"/>
          <w:sz w:val="20"/>
          <w:szCs w:val="20"/>
        </w:rPr>
        <w:t xml:space="preserve"> </w:t>
      </w:r>
      <w:r w:rsidRPr="0050243A">
        <w:rPr>
          <w:color w:val="000000" w:themeColor="text1"/>
          <w:spacing w:val="-5"/>
          <w:sz w:val="20"/>
          <w:szCs w:val="20"/>
        </w:rPr>
        <w:t>(%) (</w:t>
      </w:r>
      <w:proofErr w:type="spellStart"/>
      <w:r w:rsidRPr="0050243A">
        <w:rPr>
          <w:color w:val="000000" w:themeColor="text1"/>
          <w:spacing w:val="-5"/>
          <w:sz w:val="20"/>
          <w:szCs w:val="20"/>
        </w:rPr>
        <w:t>Lending_IR</w:t>
      </w:r>
      <w:proofErr w:type="spellEnd"/>
      <w:r w:rsidRPr="0050243A">
        <w:rPr>
          <w:color w:val="000000" w:themeColor="text1"/>
          <w:spacing w:val="-5"/>
          <w:sz w:val="20"/>
          <w:szCs w:val="20"/>
        </w:rPr>
        <w:t>)</w:t>
      </w:r>
      <w:r w:rsidRPr="0050243A">
        <w:rPr>
          <w:color w:val="000000" w:themeColor="text1"/>
          <w:sz w:val="20"/>
          <w:szCs w:val="20"/>
        </w:rPr>
        <w:t>, Interest</w:t>
      </w:r>
      <w:r w:rsidRPr="0050243A">
        <w:rPr>
          <w:color w:val="000000" w:themeColor="text1"/>
          <w:spacing w:val="-4"/>
          <w:sz w:val="20"/>
          <w:szCs w:val="20"/>
        </w:rPr>
        <w:t xml:space="preserve"> </w:t>
      </w:r>
      <w:r w:rsidRPr="0050243A">
        <w:rPr>
          <w:color w:val="000000" w:themeColor="text1"/>
          <w:sz w:val="20"/>
          <w:szCs w:val="20"/>
        </w:rPr>
        <w:t>rate</w:t>
      </w:r>
      <w:r w:rsidRPr="0050243A">
        <w:rPr>
          <w:color w:val="000000" w:themeColor="text1"/>
          <w:spacing w:val="-2"/>
          <w:sz w:val="20"/>
          <w:szCs w:val="20"/>
        </w:rPr>
        <w:t xml:space="preserve"> </w:t>
      </w:r>
      <w:r w:rsidRPr="0050243A">
        <w:rPr>
          <w:color w:val="000000" w:themeColor="text1"/>
          <w:sz w:val="20"/>
          <w:szCs w:val="20"/>
        </w:rPr>
        <w:t>spread (</w:t>
      </w:r>
      <w:proofErr w:type="spellStart"/>
      <w:r w:rsidRPr="0050243A">
        <w:rPr>
          <w:color w:val="000000" w:themeColor="text1"/>
          <w:sz w:val="20"/>
          <w:szCs w:val="20"/>
        </w:rPr>
        <w:t>Interest_RS</w:t>
      </w:r>
      <w:proofErr w:type="spellEnd"/>
      <w:r w:rsidRPr="0050243A">
        <w:rPr>
          <w:color w:val="000000" w:themeColor="text1"/>
          <w:sz w:val="20"/>
          <w:szCs w:val="20"/>
        </w:rPr>
        <w:t>), Political</w:t>
      </w:r>
      <w:r w:rsidRPr="0050243A">
        <w:rPr>
          <w:color w:val="000000" w:themeColor="text1"/>
          <w:spacing w:val="-1"/>
          <w:sz w:val="20"/>
          <w:szCs w:val="20"/>
        </w:rPr>
        <w:t xml:space="preserve"> </w:t>
      </w:r>
      <w:r w:rsidRPr="0050243A">
        <w:rPr>
          <w:color w:val="000000" w:themeColor="text1"/>
          <w:sz w:val="20"/>
          <w:szCs w:val="20"/>
        </w:rPr>
        <w:t>Stability</w:t>
      </w:r>
      <w:r w:rsidRPr="0050243A">
        <w:rPr>
          <w:color w:val="000000" w:themeColor="text1"/>
          <w:spacing w:val="-7"/>
          <w:sz w:val="20"/>
          <w:szCs w:val="20"/>
        </w:rPr>
        <w:t xml:space="preserve"> </w:t>
      </w:r>
      <w:r w:rsidRPr="0050243A">
        <w:rPr>
          <w:color w:val="000000" w:themeColor="text1"/>
          <w:sz w:val="20"/>
          <w:szCs w:val="20"/>
        </w:rPr>
        <w:t>&amp;</w:t>
      </w:r>
      <w:r w:rsidRPr="0050243A">
        <w:rPr>
          <w:color w:val="000000" w:themeColor="text1"/>
          <w:spacing w:val="-14"/>
          <w:sz w:val="20"/>
          <w:szCs w:val="20"/>
        </w:rPr>
        <w:t xml:space="preserve"> </w:t>
      </w:r>
      <w:r w:rsidRPr="0050243A">
        <w:rPr>
          <w:color w:val="000000" w:themeColor="text1"/>
          <w:sz w:val="20"/>
          <w:szCs w:val="20"/>
        </w:rPr>
        <w:t>Absence</w:t>
      </w:r>
      <w:r w:rsidRPr="0050243A">
        <w:rPr>
          <w:color w:val="000000" w:themeColor="text1"/>
          <w:spacing w:val="-2"/>
          <w:sz w:val="20"/>
          <w:szCs w:val="20"/>
        </w:rPr>
        <w:t xml:space="preserve"> </w:t>
      </w:r>
      <w:r w:rsidRPr="0050243A">
        <w:rPr>
          <w:color w:val="000000" w:themeColor="text1"/>
          <w:sz w:val="20"/>
          <w:szCs w:val="20"/>
        </w:rPr>
        <w:t>of</w:t>
      </w:r>
      <w:r w:rsidRPr="0050243A">
        <w:rPr>
          <w:color w:val="000000" w:themeColor="text1"/>
          <w:spacing w:val="-4"/>
          <w:sz w:val="20"/>
          <w:szCs w:val="20"/>
        </w:rPr>
        <w:t xml:space="preserve"> </w:t>
      </w:r>
      <w:r w:rsidRPr="0050243A">
        <w:rPr>
          <w:color w:val="000000" w:themeColor="text1"/>
          <w:spacing w:val="-2"/>
          <w:sz w:val="20"/>
          <w:szCs w:val="20"/>
        </w:rPr>
        <w:t>Violence (</w:t>
      </w:r>
      <w:proofErr w:type="spellStart"/>
      <w:r w:rsidRPr="0050243A">
        <w:rPr>
          <w:color w:val="000000" w:themeColor="text1"/>
          <w:spacing w:val="-2"/>
          <w:sz w:val="20"/>
          <w:szCs w:val="20"/>
        </w:rPr>
        <w:t>Political_SAV</w:t>
      </w:r>
      <w:proofErr w:type="spellEnd"/>
      <w:r w:rsidRPr="0050243A">
        <w:rPr>
          <w:color w:val="000000" w:themeColor="text1"/>
          <w:spacing w:val="-2"/>
          <w:sz w:val="20"/>
          <w:szCs w:val="20"/>
        </w:rPr>
        <w:t>),</w:t>
      </w:r>
      <w:r w:rsidRPr="0050243A">
        <w:rPr>
          <w:color w:val="000000" w:themeColor="text1"/>
          <w:sz w:val="20"/>
          <w:szCs w:val="20"/>
        </w:rPr>
        <w:t xml:space="preserve"> Control of </w:t>
      </w:r>
      <w:r w:rsidRPr="0050243A">
        <w:rPr>
          <w:color w:val="000000" w:themeColor="text1"/>
          <w:spacing w:val="-2"/>
          <w:sz w:val="20"/>
          <w:szCs w:val="20"/>
        </w:rPr>
        <w:t>Corruption (</w:t>
      </w:r>
      <w:proofErr w:type="spellStart"/>
      <w:r w:rsidRPr="0050243A">
        <w:rPr>
          <w:color w:val="000000" w:themeColor="text1"/>
          <w:spacing w:val="-2"/>
          <w:sz w:val="20"/>
          <w:szCs w:val="20"/>
        </w:rPr>
        <w:t>Corruption_C</w:t>
      </w:r>
      <w:proofErr w:type="spellEnd"/>
      <w:r w:rsidRPr="0050243A">
        <w:rPr>
          <w:color w:val="000000" w:themeColor="text1"/>
          <w:spacing w:val="-2"/>
          <w:sz w:val="20"/>
          <w:szCs w:val="20"/>
        </w:rPr>
        <w:t>),</w:t>
      </w:r>
      <w:r w:rsidRPr="0050243A">
        <w:rPr>
          <w:color w:val="000000" w:themeColor="text1"/>
          <w:sz w:val="20"/>
          <w:szCs w:val="20"/>
        </w:rPr>
        <w:t xml:space="preserve"> Government</w:t>
      </w:r>
      <w:r w:rsidRPr="0050243A">
        <w:rPr>
          <w:color w:val="000000" w:themeColor="text1"/>
          <w:spacing w:val="-4"/>
          <w:sz w:val="20"/>
          <w:szCs w:val="20"/>
        </w:rPr>
        <w:t xml:space="preserve"> </w:t>
      </w:r>
      <w:r w:rsidRPr="0050243A">
        <w:rPr>
          <w:color w:val="000000" w:themeColor="text1"/>
          <w:spacing w:val="-2"/>
          <w:sz w:val="20"/>
          <w:szCs w:val="20"/>
        </w:rPr>
        <w:t>Effective (</w:t>
      </w:r>
      <w:proofErr w:type="spellStart"/>
      <w:r w:rsidRPr="0050243A">
        <w:rPr>
          <w:color w:val="000000" w:themeColor="text1"/>
          <w:spacing w:val="-2"/>
          <w:sz w:val="20"/>
          <w:szCs w:val="20"/>
        </w:rPr>
        <w:t>Govt_effect</w:t>
      </w:r>
      <w:proofErr w:type="spellEnd"/>
      <w:r w:rsidRPr="0050243A">
        <w:rPr>
          <w:color w:val="000000" w:themeColor="text1"/>
          <w:spacing w:val="-2"/>
          <w:sz w:val="20"/>
          <w:szCs w:val="20"/>
        </w:rPr>
        <w:t xml:space="preserve">), </w:t>
      </w:r>
      <w:r w:rsidRPr="0050243A">
        <w:rPr>
          <w:color w:val="000000" w:themeColor="text1"/>
          <w:sz w:val="20"/>
          <w:szCs w:val="20"/>
        </w:rPr>
        <w:t>The data were primarily sourced from the World Bank’s World Development Indicators database</w:t>
      </w:r>
      <w:sdt>
        <w:sdtPr>
          <w:rPr>
            <w:color w:val="000000"/>
            <w:sz w:val="20"/>
            <w:szCs w:val="20"/>
          </w:rPr>
          <w:tag w:val="MENDELEY_CITATION_v3_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"/>
          <w:id w:val="203843896"/>
          <w:placeholder>
            <w:docPart w:val="206C574C60D64545A4CF526C1DBDFC4A"/>
          </w:placeholder>
        </w:sdtPr>
        <w:sdtContent>
          <w:r w:rsidRPr="0050243A">
            <w:rPr>
              <w:color w:val="000000"/>
              <w:sz w:val="20"/>
              <w:szCs w:val="20"/>
            </w:rPr>
            <w:t>(“World Bank Database.,” n.d.)</w:t>
          </w:r>
        </w:sdtContent>
      </w:sdt>
      <w:r w:rsidRPr="0050243A">
        <w:rPr>
          <w:color w:val="000000" w:themeColor="text1"/>
          <w:sz w:val="20"/>
          <w:szCs w:val="20"/>
        </w:rPr>
        <w:t>, accessible at https://data.worldbank.org/country/BD. Further information on Total Overseas employment was obtained from the Bangladesh Statistics Yearbook, available on the Bangladesh Bureau of Statistics website https://bbs.portal.gov.bd.</w:t>
      </w:r>
    </w:p>
    <w:p w14:paraId="429AF379" w14:textId="77777777" w:rsidR="00191ABF" w:rsidRPr="0050243A" w:rsidRDefault="00191ABF" w:rsidP="008546EF">
      <w:pPr>
        <w:ind w:right="78"/>
        <w:jc w:val="both"/>
        <w:rPr>
          <w:color w:val="000000" w:themeColor="text1"/>
          <w:sz w:val="20"/>
          <w:szCs w:val="20"/>
        </w:rPr>
      </w:pPr>
    </w:p>
    <w:p w14:paraId="4D7B53CE" w14:textId="77777777" w:rsidR="00191ABF" w:rsidRPr="009065FD" w:rsidRDefault="00191ABF" w:rsidP="008546EF">
      <w:pPr>
        <w:ind w:right="78"/>
        <w:jc w:val="both"/>
        <w:rPr>
          <w:b/>
          <w:bCs/>
          <w:i/>
          <w:iCs/>
          <w:color w:val="000000" w:themeColor="text1"/>
          <w:sz w:val="20"/>
          <w:szCs w:val="20"/>
        </w:rPr>
      </w:pPr>
      <w:r w:rsidRPr="009065FD">
        <w:rPr>
          <w:b/>
          <w:bCs/>
          <w:i/>
          <w:iCs/>
          <w:color w:val="000000" w:themeColor="text1"/>
          <w:sz w:val="20"/>
          <w:szCs w:val="20"/>
        </w:rPr>
        <w:t>2.2 Study Design</w:t>
      </w:r>
    </w:p>
    <w:p w14:paraId="30B7C08E" w14:textId="77777777" w:rsidR="009065FD" w:rsidRPr="0050243A" w:rsidRDefault="009065FD" w:rsidP="008546EF">
      <w:pPr>
        <w:ind w:right="78"/>
        <w:jc w:val="both"/>
        <w:rPr>
          <w:b/>
          <w:bCs/>
          <w:color w:val="000000" w:themeColor="text1"/>
          <w:sz w:val="20"/>
          <w:szCs w:val="20"/>
        </w:rPr>
      </w:pPr>
    </w:p>
    <w:p w14:paraId="0F4AE06D" w14:textId="77777777" w:rsidR="00191ABF" w:rsidRDefault="00191ABF" w:rsidP="008546EF">
      <w:pPr>
        <w:spacing w:line="324" w:lineRule="auto"/>
        <w:ind w:right="78"/>
        <w:jc w:val="both"/>
        <w:rPr>
          <w:color w:val="000000" w:themeColor="text1"/>
          <w:sz w:val="20"/>
          <w:szCs w:val="20"/>
        </w:rPr>
      </w:pPr>
      <w:r w:rsidRPr="0050243A">
        <w:rPr>
          <w:color w:val="000000" w:themeColor="text1"/>
          <w:sz w:val="20"/>
          <w:szCs w:val="20"/>
        </w:rPr>
        <w:t>The process of identifying the research gap begins with an in-depth review of existing literature on personal received remittances trends analysis. As depicted in Figure 1, the study follows a systematic framework. The initial phase involves pinpointing the principal determinants of remittances, analyzing their interconnections, and evaluating their collective influence. The second phase emphasizes selecting the most suitable analytical model based on empirical relevance. The final phase includes conducting diagnostic evaluations and assessing the model’s stability through appropriate statistical tests.</w:t>
      </w:r>
    </w:p>
    <w:p w14:paraId="23BCDEB5" w14:textId="77777777" w:rsidR="009065FD" w:rsidRPr="009065FD" w:rsidRDefault="009065FD" w:rsidP="008546EF">
      <w:pPr>
        <w:spacing w:line="324" w:lineRule="auto"/>
        <w:ind w:right="78"/>
        <w:jc w:val="both"/>
        <w:rPr>
          <w:color w:val="000000" w:themeColor="text1"/>
          <w:sz w:val="8"/>
          <w:szCs w:val="8"/>
        </w:rPr>
      </w:pPr>
    </w:p>
    <w:p w14:paraId="4690803A" w14:textId="77777777" w:rsidR="00191ABF" w:rsidRPr="0050243A" w:rsidRDefault="00191ABF" w:rsidP="008546EF">
      <w:pPr>
        <w:ind w:right="78"/>
        <w:jc w:val="center"/>
        <w:rPr>
          <w:color w:val="000000" w:themeColor="text1"/>
          <w:sz w:val="20"/>
          <w:szCs w:val="20"/>
        </w:rPr>
      </w:pPr>
      <w:r w:rsidRPr="0050243A">
        <w:rPr>
          <w:noProof/>
          <w:color w:val="000000" w:themeColor="text1"/>
          <w:sz w:val="20"/>
          <w:szCs w:val="20"/>
        </w:rPr>
        <w:drawing>
          <wp:inline distT="0" distB="0" distL="0" distR="0" wp14:anchorId="4E037079" wp14:editId="682B904A">
            <wp:extent cx="4923112" cy="231530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4940621" cy="2323542"/>
                    </a:xfrm>
                    <a:prstGeom prst="rect">
                      <a:avLst/>
                    </a:prstGeom>
                  </pic:spPr>
                </pic:pic>
              </a:graphicData>
            </a:graphic>
          </wp:inline>
        </w:drawing>
      </w:r>
    </w:p>
    <w:p w14:paraId="1BC55D98" w14:textId="77777777" w:rsidR="009065FD" w:rsidRDefault="009065FD" w:rsidP="008546EF">
      <w:pPr>
        <w:ind w:right="78"/>
        <w:jc w:val="both"/>
        <w:rPr>
          <w:b/>
          <w:bCs/>
          <w:color w:val="000000" w:themeColor="text1"/>
          <w:sz w:val="20"/>
          <w:szCs w:val="20"/>
        </w:rPr>
      </w:pPr>
    </w:p>
    <w:p w14:paraId="3094079D" w14:textId="388DF860" w:rsidR="00191ABF" w:rsidRPr="0050243A" w:rsidRDefault="00191ABF" w:rsidP="008546EF">
      <w:pPr>
        <w:ind w:right="78"/>
        <w:jc w:val="center"/>
        <w:rPr>
          <w:color w:val="000000" w:themeColor="text1"/>
          <w:sz w:val="20"/>
          <w:szCs w:val="20"/>
        </w:rPr>
      </w:pPr>
      <w:r w:rsidRPr="0050243A">
        <w:rPr>
          <w:b/>
          <w:bCs/>
          <w:color w:val="000000" w:themeColor="text1"/>
          <w:sz w:val="20"/>
          <w:szCs w:val="20"/>
        </w:rPr>
        <w:t>Figure 1:</w:t>
      </w:r>
      <w:r w:rsidRPr="0050243A">
        <w:rPr>
          <w:color w:val="000000" w:themeColor="text1"/>
          <w:sz w:val="20"/>
          <w:szCs w:val="20"/>
        </w:rPr>
        <w:t xml:space="preserve"> An analytical </w:t>
      </w:r>
      <w:r>
        <w:rPr>
          <w:color w:val="000000" w:themeColor="text1"/>
          <w:sz w:val="20"/>
          <w:szCs w:val="20"/>
        </w:rPr>
        <w:t>F</w:t>
      </w:r>
      <w:r w:rsidRPr="0050243A">
        <w:rPr>
          <w:color w:val="000000" w:themeColor="text1"/>
          <w:sz w:val="20"/>
          <w:szCs w:val="20"/>
        </w:rPr>
        <w:t xml:space="preserve">ramework for </w:t>
      </w:r>
      <w:r>
        <w:rPr>
          <w:color w:val="000000" w:themeColor="text1"/>
          <w:sz w:val="20"/>
          <w:szCs w:val="20"/>
        </w:rPr>
        <w:t>E</w:t>
      </w:r>
      <w:r w:rsidRPr="0050243A">
        <w:rPr>
          <w:color w:val="000000" w:themeColor="text1"/>
          <w:sz w:val="20"/>
          <w:szCs w:val="20"/>
        </w:rPr>
        <w:t xml:space="preserve">xamining </w:t>
      </w:r>
      <w:r>
        <w:rPr>
          <w:color w:val="000000" w:themeColor="text1"/>
          <w:sz w:val="20"/>
          <w:szCs w:val="20"/>
        </w:rPr>
        <w:t>A</w:t>
      </w:r>
      <w:r w:rsidRPr="0050243A">
        <w:rPr>
          <w:color w:val="000000" w:themeColor="text1"/>
          <w:sz w:val="20"/>
          <w:szCs w:val="20"/>
        </w:rPr>
        <w:t xml:space="preserve">nnual </w:t>
      </w:r>
      <w:r>
        <w:rPr>
          <w:color w:val="000000" w:themeColor="text1"/>
          <w:sz w:val="20"/>
          <w:szCs w:val="20"/>
        </w:rPr>
        <w:t>R</w:t>
      </w:r>
      <w:r w:rsidRPr="0050243A">
        <w:rPr>
          <w:color w:val="000000" w:themeColor="text1"/>
          <w:sz w:val="20"/>
          <w:szCs w:val="20"/>
        </w:rPr>
        <w:t xml:space="preserve">emittance </w:t>
      </w:r>
      <w:r>
        <w:rPr>
          <w:color w:val="000000" w:themeColor="text1"/>
          <w:sz w:val="20"/>
          <w:szCs w:val="20"/>
        </w:rPr>
        <w:t>T</w:t>
      </w:r>
      <w:r w:rsidRPr="0050243A">
        <w:rPr>
          <w:color w:val="000000" w:themeColor="text1"/>
          <w:sz w:val="20"/>
          <w:szCs w:val="20"/>
        </w:rPr>
        <w:t>rends in Bangladesh</w:t>
      </w:r>
    </w:p>
    <w:p w14:paraId="02DBEFA1" w14:textId="77777777" w:rsidR="00191ABF" w:rsidRDefault="00191ABF" w:rsidP="008546EF">
      <w:pPr>
        <w:spacing w:line="324" w:lineRule="auto"/>
        <w:ind w:right="78"/>
        <w:jc w:val="both"/>
        <w:rPr>
          <w:color w:val="000000" w:themeColor="text1"/>
          <w:sz w:val="20"/>
          <w:szCs w:val="20"/>
        </w:rPr>
      </w:pPr>
      <w:r w:rsidRPr="0050243A">
        <w:rPr>
          <w:color w:val="000000" w:themeColor="text1"/>
          <w:sz w:val="20"/>
          <w:szCs w:val="20"/>
        </w:rPr>
        <w:lastRenderedPageBreak/>
        <w:t>The TVAR model is chosen for its capacity to capture nonlinearities and regime-dependent dynamics in multivariate time series. Unlike standard linear VAR models, which assume constant parameters over time, the TVAR allows model coefficients to differ across regimes defined by a threshold variable. This piecewise linear structure accommodates structural breaks, asymmetric effects, and state-dependent relationships often present in economic and policy data. TVAR reduces misspecification by enabling regime-specific parameter estimation, improving fit and inference. It also supports formal tests for threshold effects and nonlinearity, making it a more appropriate choice when the underlying process exhibits heterogeneous or nonlinear behavior.</w:t>
      </w:r>
    </w:p>
    <w:p w14:paraId="583DAA0F" w14:textId="77777777" w:rsidR="009065FD" w:rsidRPr="00E26A69" w:rsidRDefault="009065FD" w:rsidP="008546EF">
      <w:pPr>
        <w:spacing w:line="324" w:lineRule="auto"/>
        <w:ind w:right="78"/>
        <w:jc w:val="both"/>
        <w:rPr>
          <w:color w:val="000000" w:themeColor="text1"/>
          <w:sz w:val="16"/>
          <w:szCs w:val="16"/>
        </w:rPr>
      </w:pPr>
    </w:p>
    <w:p w14:paraId="4A84B13B" w14:textId="77777777" w:rsidR="00191ABF" w:rsidRPr="009065FD" w:rsidRDefault="00191ABF" w:rsidP="008546EF">
      <w:pPr>
        <w:ind w:right="78"/>
        <w:jc w:val="both"/>
        <w:rPr>
          <w:b/>
          <w:bCs/>
          <w:i/>
          <w:iCs/>
          <w:color w:val="000000" w:themeColor="text1"/>
          <w:sz w:val="20"/>
          <w:szCs w:val="20"/>
        </w:rPr>
      </w:pPr>
      <w:r w:rsidRPr="009065FD">
        <w:rPr>
          <w:b/>
          <w:bCs/>
          <w:i/>
          <w:iCs/>
          <w:color w:val="000000" w:themeColor="text1"/>
          <w:sz w:val="20"/>
          <w:szCs w:val="20"/>
        </w:rPr>
        <w:t>2.3 Threshold Vector Autoregression (TVAR)</w:t>
      </w:r>
    </w:p>
    <w:p w14:paraId="55F96C3B" w14:textId="77777777" w:rsidR="009065FD" w:rsidRPr="0050243A" w:rsidRDefault="009065FD" w:rsidP="008546EF">
      <w:pPr>
        <w:ind w:right="78"/>
        <w:jc w:val="both"/>
        <w:rPr>
          <w:b/>
          <w:bCs/>
          <w:color w:val="000000" w:themeColor="text1"/>
          <w:sz w:val="20"/>
          <w:szCs w:val="20"/>
        </w:rPr>
      </w:pPr>
    </w:p>
    <w:p w14:paraId="5F8FF1AF" w14:textId="77777777" w:rsidR="00191ABF" w:rsidRPr="0050243A" w:rsidRDefault="00191ABF" w:rsidP="008546EF">
      <w:pPr>
        <w:spacing w:line="324" w:lineRule="auto"/>
        <w:ind w:right="78"/>
        <w:jc w:val="both"/>
        <w:rPr>
          <w:color w:val="000000" w:themeColor="text1"/>
          <w:sz w:val="20"/>
          <w:szCs w:val="20"/>
        </w:rPr>
      </w:pPr>
      <w:r w:rsidRPr="0050243A">
        <w:rPr>
          <w:color w:val="000000" w:themeColor="text1"/>
          <w:sz w:val="20"/>
          <w:szCs w:val="20"/>
        </w:rPr>
        <w:t xml:space="preserve">The TVAR model is an extension of the standard vector autoregression (VAR) model that allows the dynamics of a multivariate time series to change depending on the value of an observed variable. This model is useful when the relationships between variables differ across distinct regimes such as economic expansions vs. recessions </w:t>
      </w:r>
      <w:sdt>
        <w:sdtPr>
          <w:rPr>
            <w:color w:val="000000"/>
            <w:sz w:val="20"/>
            <w:szCs w:val="20"/>
          </w:rPr>
          <w:tag w:val="MENDELEY_CITATION_v3_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"/>
          <w:id w:val="-699387491"/>
          <w:placeholder>
            <w:docPart w:val="31E3ED1B8C5D4E5F964ED93C36DBD2A2"/>
          </w:placeholder>
        </w:sdtPr>
        <w:sdtContent>
          <w:r w:rsidRPr="0050243A">
            <w:rPr>
              <w:color w:val="000000"/>
              <w:sz w:val="20"/>
              <w:szCs w:val="20"/>
            </w:rPr>
            <w:t>(Lubik &amp; Matthes, 2015)</w:t>
          </w:r>
        </w:sdtContent>
      </w:sdt>
      <w:r w:rsidRPr="0050243A">
        <w:rPr>
          <w:color w:val="000000" w:themeColor="text1"/>
          <w:sz w:val="20"/>
          <w:szCs w:val="20"/>
        </w:rPr>
        <w:t>.</w:t>
      </w:r>
    </w:p>
    <w:p w14:paraId="3037C1D5" w14:textId="40801E0B" w:rsidR="00191ABF" w:rsidRDefault="00191ABF" w:rsidP="008546EF">
      <w:pPr>
        <w:ind w:right="78"/>
        <w:jc w:val="both"/>
        <w:rPr>
          <w:color w:val="000000" w:themeColor="text1"/>
          <w:sz w:val="20"/>
          <w:szCs w:val="20"/>
        </w:rPr>
      </w:pPr>
      <w:r w:rsidRPr="0050243A">
        <w:rPr>
          <w:color w:val="000000" w:themeColor="text1"/>
          <w:sz w:val="20"/>
          <w:szCs w:val="20"/>
        </w:rPr>
        <w:t xml:space="preserve">The general form of the two-regime TVAR </w:t>
      </w:r>
      <m:oMath>
        <m:r>
          <w:rPr>
            <w:rFonts w:ascii="Cambria Math" w:hAnsi="Cambria Math"/>
            <w:color w:val="000000" w:themeColor="text1"/>
            <w:sz w:val="20"/>
            <w:szCs w:val="20"/>
          </w:rPr>
          <m:t>( P)</m:t>
        </m:r>
      </m:oMath>
      <w:r w:rsidRPr="0050243A">
        <w:rPr>
          <w:color w:val="000000" w:themeColor="text1"/>
          <w:sz w:val="20"/>
          <w:szCs w:val="20"/>
        </w:rPr>
        <w:t xml:space="preserve"> model is specified as follows:</w:t>
      </w:r>
    </w:p>
    <w:p w14:paraId="4880C33E" w14:textId="77777777" w:rsidR="009065FD" w:rsidRPr="0050243A" w:rsidRDefault="009065FD" w:rsidP="008546EF">
      <w:pPr>
        <w:ind w:right="78"/>
        <w:jc w:val="both"/>
        <w:rPr>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6907"/>
        <w:gridCol w:w="556"/>
      </w:tblGrid>
      <w:tr w:rsidR="00191ABF" w:rsidRPr="0050243A" w14:paraId="50D0977C" w14:textId="77777777" w:rsidTr="00E26A69">
        <w:trPr>
          <w:trHeight w:val="20"/>
        </w:trPr>
        <w:tc>
          <w:tcPr>
            <w:tcW w:w="535" w:type="dxa"/>
            <w:vAlign w:val="center"/>
          </w:tcPr>
          <w:p w14:paraId="6613DA80" w14:textId="77777777" w:rsidR="00191ABF" w:rsidRPr="0050243A" w:rsidRDefault="00191ABF" w:rsidP="008546EF">
            <w:pPr>
              <w:ind w:right="78"/>
              <w:jc w:val="center"/>
              <w:rPr>
                <w:rFonts w:ascii="Times New Roman" w:hAnsi="Times New Roman" w:cs="Times New Roman"/>
                <w:color w:val="000000" w:themeColor="text1"/>
                <w:sz w:val="20"/>
                <w:szCs w:val="20"/>
              </w:rPr>
            </w:pPr>
          </w:p>
        </w:tc>
        <w:tc>
          <w:tcPr>
            <w:tcW w:w="7920" w:type="dxa"/>
            <w:vAlign w:val="center"/>
          </w:tcPr>
          <w:p w14:paraId="22B23D57" w14:textId="77777777" w:rsidR="00191ABF" w:rsidRPr="0050243A" w:rsidRDefault="00000000" w:rsidP="008546EF">
            <w:pPr>
              <w:ind w:right="78"/>
              <w:jc w:val="center"/>
              <w:rPr>
                <w:rFonts w:ascii="Times New Roman" w:hAnsi="Times New Roman" w:cs="Times New Roman"/>
                <w:iCs/>
                <w:color w:val="000000" w:themeColor="text1"/>
                <w:sz w:val="20"/>
                <w:szCs w:val="20"/>
              </w:rPr>
            </w:pPr>
            <m:oMathPara>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t</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μ</m:t>
                    </m:r>
                  </m:e>
                  <m:sub>
                    <m:r>
                      <w:rPr>
                        <w:rFonts w:ascii="Cambria Math" w:hAnsi="Cambria Math" w:cs="Times New Roman"/>
                        <w:color w:val="000000" w:themeColor="text1"/>
                        <w:sz w:val="20"/>
                        <w:szCs w:val="20"/>
                      </w:rPr>
                      <m:t>1</m:t>
                    </m:r>
                  </m:sub>
                </m:sSub>
                <m:r>
                  <w:rPr>
                    <w:rFonts w:ascii="Cambria Math" w:hAnsi="Cambria Math" w:cs="Times New Roman"/>
                    <w:color w:val="000000" w:themeColor="text1"/>
                    <w:sz w:val="20"/>
                    <w:szCs w:val="20"/>
                  </w:rPr>
                  <m:t>+</m:t>
                </m:r>
                <m:nary>
                  <m:naryPr>
                    <m:chr m:val="∑"/>
                    <m:limLoc m:val="undOvr"/>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i=1</m:t>
                    </m:r>
                  </m:sub>
                  <m:sup>
                    <m:r>
                      <w:rPr>
                        <w:rFonts w:ascii="Cambria Math" w:hAnsi="Cambria Math" w:cs="Times New Roman"/>
                        <w:color w:val="000000" w:themeColor="text1"/>
                        <w:sz w:val="20"/>
                        <w:szCs w:val="20"/>
                      </w:rPr>
                      <m:t>p</m:t>
                    </m:r>
                  </m:sup>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A</m:t>
                        </m:r>
                      </m:e>
                      <m:sub>
                        <m:r>
                          <w:rPr>
                            <w:rFonts w:ascii="Cambria Math" w:hAnsi="Cambria Math" w:cs="Times New Roman"/>
                            <w:color w:val="000000" w:themeColor="text1"/>
                            <w:sz w:val="20"/>
                            <w:szCs w:val="20"/>
                          </w:rPr>
                          <m:t>1i</m:t>
                        </m:r>
                      </m:sub>
                    </m:s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ε</m:t>
                        </m:r>
                      </m:e>
                      <m:sub>
                        <m:r>
                          <w:rPr>
                            <w:rFonts w:ascii="Cambria Math" w:hAnsi="Cambria Math" w:cs="Times New Roman"/>
                            <w:color w:val="000000" w:themeColor="text1"/>
                            <w:sz w:val="20"/>
                            <w:szCs w:val="20"/>
                          </w:rPr>
                          <m:t>1t</m:t>
                        </m:r>
                      </m:sub>
                    </m:sSub>
                  </m:e>
                </m:nary>
                <m:r>
                  <w:rPr>
                    <w:rFonts w:ascii="Cambria Math" w:hAnsi="Cambria Math" w:cs="Times New Roman"/>
                    <w:color w:val="000000" w:themeColor="text1"/>
                    <w:sz w:val="20"/>
                    <w:szCs w:val="20"/>
                  </w:rPr>
                  <m:t xml:space="preserve">, if </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q</m:t>
                    </m:r>
                  </m:e>
                  <m:sub>
                    <m:r>
                      <w:rPr>
                        <w:rFonts w:ascii="Cambria Math" w:hAnsi="Cambria Math" w:cs="Times New Roman"/>
                        <w:color w:val="000000" w:themeColor="text1"/>
                        <w:sz w:val="20"/>
                        <w:szCs w:val="20"/>
                      </w:rPr>
                      <m:t>t-d</m:t>
                    </m:r>
                  </m:sub>
                </m:sSub>
                <m:r>
                  <w:rPr>
                    <w:rFonts w:ascii="Cambria Math" w:hAnsi="Cambria Math" w:cs="Times New Roman"/>
                    <w:color w:val="000000" w:themeColor="text1"/>
                    <w:sz w:val="20"/>
                    <w:szCs w:val="20"/>
                  </w:rPr>
                  <m:t>≤γ.</m:t>
                </m:r>
              </m:oMath>
            </m:oMathPara>
          </w:p>
          <w:p w14:paraId="2AE7E81B" w14:textId="77777777" w:rsidR="00191ABF" w:rsidRPr="0050243A" w:rsidRDefault="00191ABF" w:rsidP="008546EF">
            <w:pPr>
              <w:ind w:right="78"/>
              <w:rPr>
                <w:rFonts w:ascii="Times New Roman" w:hAnsi="Times New Roman" w:cs="Times New Roman"/>
                <w:iCs/>
                <w:color w:val="000000" w:themeColor="text1"/>
                <w:sz w:val="20"/>
                <w:szCs w:val="20"/>
              </w:rPr>
            </w:pPr>
            <w:r w:rsidRPr="0050243A">
              <w:rPr>
                <w:rFonts w:ascii="Times New Roman" w:hAnsi="Times New Roman" w:cs="Times New Roman"/>
                <w:iCs/>
                <w:color w:val="000000" w:themeColor="text1"/>
                <w:sz w:val="20"/>
                <w:szCs w:val="20"/>
              </w:rPr>
              <w:t xml:space="preserve">and, </w:t>
            </w:r>
          </w:p>
          <w:p w14:paraId="1DC021D0" w14:textId="77777777" w:rsidR="00191ABF" w:rsidRPr="0050243A" w:rsidRDefault="00000000" w:rsidP="008546EF">
            <w:pPr>
              <w:ind w:right="78"/>
              <w:rPr>
                <w:rFonts w:ascii="Times New Roman" w:hAnsi="Times New Roman" w:cs="Times New Roman"/>
                <w:iCs/>
                <w:color w:val="000000" w:themeColor="text1"/>
                <w:sz w:val="20"/>
                <w:szCs w:val="20"/>
              </w:rPr>
            </w:pPr>
            <m:oMathPara>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t</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μ</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m:t>
                </m:r>
                <m:nary>
                  <m:naryPr>
                    <m:chr m:val="∑"/>
                    <m:limLoc m:val="undOvr"/>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i=1</m:t>
                    </m:r>
                  </m:sub>
                  <m:sup>
                    <m:r>
                      <w:rPr>
                        <w:rFonts w:ascii="Cambria Math" w:hAnsi="Cambria Math" w:cs="Times New Roman"/>
                        <w:color w:val="000000" w:themeColor="text1"/>
                        <w:sz w:val="20"/>
                        <w:szCs w:val="20"/>
                      </w:rPr>
                      <m:t>p</m:t>
                    </m:r>
                  </m:sup>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A</m:t>
                        </m:r>
                      </m:e>
                      <m:sub>
                        <m:r>
                          <w:rPr>
                            <w:rFonts w:ascii="Cambria Math" w:hAnsi="Cambria Math" w:cs="Times New Roman"/>
                            <w:color w:val="000000" w:themeColor="text1"/>
                            <w:sz w:val="20"/>
                            <w:szCs w:val="20"/>
                          </w:rPr>
                          <m:t>2i</m:t>
                        </m:r>
                      </m:sub>
                    </m:s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ε</m:t>
                        </m:r>
                      </m:e>
                      <m:sub>
                        <m:r>
                          <w:rPr>
                            <w:rFonts w:ascii="Cambria Math" w:hAnsi="Cambria Math" w:cs="Times New Roman"/>
                            <w:color w:val="000000" w:themeColor="text1"/>
                            <w:sz w:val="20"/>
                            <w:szCs w:val="20"/>
                          </w:rPr>
                          <m:t>2t</m:t>
                        </m:r>
                      </m:sub>
                    </m:sSub>
                  </m:e>
                </m:nary>
                <m:r>
                  <w:rPr>
                    <w:rFonts w:ascii="Cambria Math" w:hAnsi="Cambria Math" w:cs="Times New Roman"/>
                    <w:color w:val="000000" w:themeColor="text1"/>
                    <w:sz w:val="20"/>
                    <w:szCs w:val="20"/>
                  </w:rPr>
                  <m:t xml:space="preserve">, if </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q</m:t>
                    </m:r>
                  </m:e>
                  <m:sub>
                    <m:r>
                      <w:rPr>
                        <w:rFonts w:ascii="Cambria Math" w:hAnsi="Cambria Math" w:cs="Times New Roman"/>
                        <w:color w:val="000000" w:themeColor="text1"/>
                        <w:sz w:val="20"/>
                        <w:szCs w:val="20"/>
                      </w:rPr>
                      <m:t>t-d</m:t>
                    </m:r>
                  </m:sub>
                </m:sSub>
                <m:r>
                  <w:rPr>
                    <w:rFonts w:ascii="Cambria Math" w:hAnsi="Cambria Math" w:cs="Times New Roman"/>
                    <w:color w:val="000000" w:themeColor="text1"/>
                    <w:sz w:val="20"/>
                    <w:szCs w:val="20"/>
                  </w:rPr>
                  <m:t>&gt;γ.</m:t>
                </m:r>
              </m:oMath>
            </m:oMathPara>
          </w:p>
        </w:tc>
        <w:tc>
          <w:tcPr>
            <w:tcW w:w="561" w:type="dxa"/>
            <w:vAlign w:val="center"/>
          </w:tcPr>
          <w:p w14:paraId="6EDDDF68" w14:textId="77777777" w:rsidR="00191ABF" w:rsidRPr="0050243A" w:rsidRDefault="00191ABF" w:rsidP="008546EF">
            <w:pPr>
              <w:ind w:right="78"/>
              <w:jc w:val="center"/>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w:t>
            </w:r>
          </w:p>
        </w:tc>
      </w:tr>
    </w:tbl>
    <w:p w14:paraId="6D504FE1" w14:textId="77777777" w:rsidR="00191ABF" w:rsidRPr="0050243A" w:rsidRDefault="00191ABF" w:rsidP="008546EF">
      <w:pPr>
        <w:ind w:right="78"/>
        <w:jc w:val="both"/>
        <w:rPr>
          <w:color w:val="000000" w:themeColor="text1"/>
          <w:sz w:val="20"/>
          <w:szCs w:val="20"/>
        </w:rPr>
      </w:pPr>
    </w:p>
    <w:p w14:paraId="3D1550CB" w14:textId="77777777" w:rsidR="00191ABF" w:rsidRDefault="00191ABF" w:rsidP="008546EF">
      <w:pPr>
        <w:ind w:right="78"/>
        <w:jc w:val="both"/>
        <w:rPr>
          <w:iCs/>
          <w:color w:val="000000" w:themeColor="text1"/>
          <w:sz w:val="20"/>
          <w:szCs w:val="20"/>
        </w:rPr>
      </w:pPr>
      <w:r w:rsidRPr="0050243A">
        <w:rPr>
          <w:iCs/>
          <w:color w:val="000000" w:themeColor="text1"/>
          <w:sz w:val="20"/>
          <w:szCs w:val="20"/>
        </w:rPr>
        <w:t xml:space="preserve">Or, compactly using an indicator function: </w:t>
      </w:r>
    </w:p>
    <w:p w14:paraId="3D50A2D7" w14:textId="77777777" w:rsidR="009065FD" w:rsidRPr="0050243A" w:rsidRDefault="009065FD" w:rsidP="008546EF">
      <w:pPr>
        <w:ind w:right="78"/>
        <w:jc w:val="both"/>
        <w:rPr>
          <w:iCs/>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
        <w:gridCol w:w="7165"/>
        <w:gridCol w:w="528"/>
      </w:tblGrid>
      <w:tr w:rsidR="00191ABF" w:rsidRPr="0050243A" w14:paraId="08D058D3" w14:textId="77777777" w:rsidTr="009065FD">
        <w:tc>
          <w:tcPr>
            <w:tcW w:w="257" w:type="dxa"/>
            <w:vAlign w:val="center"/>
          </w:tcPr>
          <w:p w14:paraId="75C93E81" w14:textId="77777777" w:rsidR="00191ABF" w:rsidRPr="0050243A" w:rsidRDefault="00191ABF" w:rsidP="008546EF">
            <w:pPr>
              <w:ind w:right="78"/>
              <w:jc w:val="center"/>
              <w:rPr>
                <w:rFonts w:ascii="Times New Roman" w:hAnsi="Times New Roman" w:cs="Times New Roman"/>
                <w:iCs/>
                <w:color w:val="000000" w:themeColor="text1"/>
                <w:sz w:val="20"/>
                <w:szCs w:val="20"/>
              </w:rPr>
            </w:pPr>
          </w:p>
        </w:tc>
        <w:tc>
          <w:tcPr>
            <w:tcW w:w="7242" w:type="dxa"/>
            <w:vAlign w:val="center"/>
          </w:tcPr>
          <w:p w14:paraId="446FD4FF" w14:textId="77777777" w:rsidR="00191ABF" w:rsidRPr="0050243A" w:rsidRDefault="00000000" w:rsidP="008546EF">
            <w:pPr>
              <w:ind w:right="78"/>
              <w:jc w:val="center"/>
              <w:rPr>
                <w:rFonts w:ascii="Times New Roman" w:hAnsi="Times New Roman" w:cs="Times New Roman"/>
                <w:i/>
                <w:color w:val="000000" w:themeColor="text1"/>
                <w:sz w:val="20"/>
                <w:szCs w:val="20"/>
              </w:rPr>
            </w:pPr>
            <m:oMathPara>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t</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μ</m:t>
                    </m:r>
                  </m:e>
                  <m:sub>
                    <m:r>
                      <w:rPr>
                        <w:rFonts w:ascii="Cambria Math" w:hAnsi="Cambria Math" w:cs="Times New Roman"/>
                        <w:color w:val="000000" w:themeColor="text1"/>
                        <w:sz w:val="20"/>
                        <w:szCs w:val="20"/>
                      </w:rPr>
                      <m:t>1</m:t>
                    </m:r>
                  </m:sub>
                </m:sSub>
                <m:r>
                  <w:rPr>
                    <w:rFonts w:ascii="Cambria Math" w:hAnsi="Cambria Math" w:cs="Times New Roman"/>
                    <w:color w:val="000000" w:themeColor="text1"/>
                    <w:sz w:val="20"/>
                    <w:szCs w:val="20"/>
                  </w:rPr>
                  <m:t>+</m:t>
                </m:r>
                <m:nary>
                  <m:naryPr>
                    <m:chr m:val="∑"/>
                    <m:limLoc m:val="undOvr"/>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i=1</m:t>
                    </m:r>
                  </m:sub>
                  <m:sup>
                    <m:r>
                      <w:rPr>
                        <w:rFonts w:ascii="Cambria Math" w:hAnsi="Cambria Math" w:cs="Times New Roman"/>
                        <w:color w:val="000000" w:themeColor="text1"/>
                        <w:sz w:val="20"/>
                        <w:szCs w:val="20"/>
                      </w:rPr>
                      <m:t>p</m:t>
                    </m:r>
                  </m:sup>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A</m:t>
                        </m:r>
                      </m:e>
                      <m:sub>
                        <m:r>
                          <w:rPr>
                            <w:rFonts w:ascii="Cambria Math" w:hAnsi="Cambria Math" w:cs="Times New Roman"/>
                            <w:color w:val="000000" w:themeColor="text1"/>
                            <w:sz w:val="20"/>
                            <w:szCs w:val="20"/>
                          </w:rPr>
                          <m:t>1i</m:t>
                        </m:r>
                      </m:sub>
                    </m:s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d>
                      <m:dPr>
                        <m:begChr m:val="["/>
                        <m:endChr m:val="]"/>
                        <m:ctrlPr>
                          <w:rPr>
                            <w:rFonts w:ascii="Cambria Math" w:hAnsi="Cambria Math" w:cs="Times New Roman"/>
                            <w:i/>
                            <w:color w:val="000000" w:themeColor="text1"/>
                            <w:sz w:val="20"/>
                            <w:szCs w:val="20"/>
                          </w:rPr>
                        </m:ctrlPr>
                      </m:dPr>
                      <m:e>
                        <m:d>
                          <m:dPr>
                            <m:ctrlPr>
                              <w:rPr>
                                <w:rFonts w:ascii="Cambria Math" w:hAnsi="Cambria Math" w:cs="Times New Roman"/>
                                <w:i/>
                                <w:color w:val="000000" w:themeColor="text1"/>
                                <w:sz w:val="20"/>
                                <w:szCs w:val="20"/>
                              </w:rPr>
                            </m:ctrlPr>
                          </m:dPr>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μ</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μ</m:t>
                                </m:r>
                              </m:e>
                              <m:sub>
                                <m:r>
                                  <w:rPr>
                                    <w:rFonts w:ascii="Cambria Math" w:hAnsi="Cambria Math" w:cs="Times New Roman"/>
                                    <w:color w:val="000000" w:themeColor="text1"/>
                                    <w:sz w:val="20"/>
                                    <w:szCs w:val="20"/>
                                  </w:rPr>
                                  <m:t>1</m:t>
                                </m:r>
                              </m:sub>
                            </m:sSub>
                          </m:e>
                        </m:d>
                        <m:r>
                          <w:rPr>
                            <w:rFonts w:ascii="Cambria Math" w:hAnsi="Cambria Math" w:cs="Times New Roman"/>
                            <w:color w:val="000000" w:themeColor="text1"/>
                            <w:sz w:val="20"/>
                            <w:szCs w:val="20"/>
                          </w:rPr>
                          <m:t>+</m:t>
                        </m:r>
                        <m:nary>
                          <m:naryPr>
                            <m:chr m:val="∑"/>
                            <m:limLoc m:val="undOvr"/>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i=1</m:t>
                            </m:r>
                          </m:sub>
                          <m:sup>
                            <m:r>
                              <w:rPr>
                                <w:rFonts w:ascii="Cambria Math" w:hAnsi="Cambria Math" w:cs="Times New Roman"/>
                                <w:color w:val="000000" w:themeColor="text1"/>
                                <w:sz w:val="20"/>
                                <w:szCs w:val="20"/>
                              </w:rPr>
                              <m:t>p</m:t>
                            </m:r>
                          </m:sup>
                          <m:e>
                            <m:d>
                              <m:dPr>
                                <m:ctrlPr>
                                  <w:rPr>
                                    <w:rFonts w:ascii="Cambria Math" w:hAnsi="Cambria Math" w:cs="Times New Roman"/>
                                    <w:i/>
                                    <w:color w:val="000000" w:themeColor="text1"/>
                                    <w:sz w:val="20"/>
                                    <w:szCs w:val="20"/>
                                  </w:rPr>
                                </m:ctrlPr>
                              </m:dPr>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A</m:t>
                                    </m:r>
                                  </m:e>
                                  <m:sub>
                                    <m:r>
                                      <w:rPr>
                                        <w:rFonts w:ascii="Cambria Math" w:hAnsi="Cambria Math" w:cs="Times New Roman"/>
                                        <w:color w:val="000000" w:themeColor="text1"/>
                                        <w:sz w:val="20"/>
                                        <w:szCs w:val="20"/>
                                      </w:rPr>
                                      <m:t>2i</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A</m:t>
                                    </m:r>
                                  </m:e>
                                  <m:sub>
                                    <m:r>
                                      <w:rPr>
                                        <w:rFonts w:ascii="Cambria Math" w:hAnsi="Cambria Math" w:cs="Times New Roman"/>
                                        <w:color w:val="000000" w:themeColor="text1"/>
                                        <w:sz w:val="20"/>
                                        <w:szCs w:val="20"/>
                                      </w:rPr>
                                      <m:t>1i</m:t>
                                    </m:r>
                                  </m:sub>
                                </m:sSub>
                              </m:e>
                            </m:d>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t-i</m:t>
                                </m:r>
                              </m:sub>
                            </m:sSub>
                          </m:e>
                        </m:nary>
                      </m:e>
                    </m:d>
                    <m:r>
                      <w:rPr>
                        <w:rFonts w:ascii="Cambria Math" w:hAnsi="Cambria Math" w:cs="Times New Roman"/>
                        <w:color w:val="000000" w:themeColor="text1"/>
                        <w:sz w:val="20"/>
                        <w:szCs w:val="20"/>
                      </w:rPr>
                      <m:t>.</m:t>
                    </m:r>
                    <m:nary>
                      <m:naryPr>
                        <m:chr m:val="∏"/>
                        <m:limLoc m:val="undOvr"/>
                        <m:subHide m:val="1"/>
                        <m:supHide m:val="1"/>
                        <m:ctrlPr>
                          <w:rPr>
                            <w:rFonts w:ascii="Cambria Math" w:hAnsi="Cambria Math" w:cs="Times New Roman"/>
                            <w:i/>
                            <w:color w:val="000000" w:themeColor="text1"/>
                            <w:sz w:val="20"/>
                            <w:szCs w:val="20"/>
                          </w:rPr>
                        </m:ctrlPr>
                      </m:naryPr>
                      <m:sub/>
                      <m:sup/>
                      <m:e>
                        <m:d>
                          <m:dPr>
                            <m:ctrlPr>
                              <w:rPr>
                                <w:rFonts w:ascii="Cambria Math" w:hAnsi="Cambria Math" w:cs="Times New Roman"/>
                                <w:i/>
                                <w:color w:val="000000" w:themeColor="text1"/>
                                <w:sz w:val="20"/>
                                <w:szCs w:val="20"/>
                              </w:rPr>
                            </m:ctrlPr>
                          </m:dPr>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q</m:t>
                                </m:r>
                              </m:e>
                              <m:sub>
                                <m:r>
                                  <w:rPr>
                                    <w:rFonts w:ascii="Cambria Math" w:hAnsi="Cambria Math" w:cs="Times New Roman"/>
                                    <w:color w:val="000000" w:themeColor="text1"/>
                                    <w:sz w:val="20"/>
                                    <w:szCs w:val="20"/>
                                  </w:rPr>
                                  <m:t>t-d</m:t>
                                </m:r>
                              </m:sub>
                            </m:sSub>
                            <m:r>
                              <w:rPr>
                                <w:rFonts w:ascii="Cambria Math" w:hAnsi="Cambria Math" w:cs="Times New Roman"/>
                                <w:color w:val="000000" w:themeColor="text1"/>
                                <w:sz w:val="20"/>
                                <w:szCs w:val="20"/>
                              </w:rPr>
                              <m:t>&gt;γ</m:t>
                            </m:r>
                          </m:e>
                        </m:d>
                        <m:r>
                          <w:rPr>
                            <w:rFonts w:ascii="Cambria Math" w:hAnsi="Cambria Math" w:cs="Times New Roman"/>
                            <w:color w:val="000000" w:themeColor="text1"/>
                            <w:sz w:val="20"/>
                            <w:szCs w:val="20"/>
                          </w:rPr>
                          <m:t>+ε.</m:t>
                        </m:r>
                      </m:e>
                    </m:nary>
                  </m:e>
                </m:nary>
              </m:oMath>
            </m:oMathPara>
          </w:p>
        </w:tc>
        <w:tc>
          <w:tcPr>
            <w:tcW w:w="450" w:type="dxa"/>
            <w:vAlign w:val="center"/>
          </w:tcPr>
          <w:p w14:paraId="114B177A" w14:textId="77777777" w:rsidR="00191ABF" w:rsidRPr="0050243A" w:rsidRDefault="00191ABF" w:rsidP="008546EF">
            <w:pPr>
              <w:ind w:right="78"/>
              <w:jc w:val="center"/>
              <w:rPr>
                <w:rFonts w:ascii="Times New Roman" w:hAnsi="Times New Roman" w:cs="Times New Roman"/>
                <w:iCs/>
                <w:color w:val="000000" w:themeColor="text1"/>
                <w:sz w:val="20"/>
                <w:szCs w:val="20"/>
              </w:rPr>
            </w:pPr>
            <w:r w:rsidRPr="0050243A">
              <w:rPr>
                <w:rFonts w:ascii="Times New Roman" w:hAnsi="Times New Roman" w:cs="Times New Roman"/>
                <w:iCs/>
                <w:color w:val="000000" w:themeColor="text1"/>
                <w:sz w:val="20"/>
                <w:szCs w:val="20"/>
              </w:rPr>
              <w:t>(2)</w:t>
            </w:r>
          </w:p>
        </w:tc>
      </w:tr>
      <w:tr w:rsidR="009065FD" w:rsidRPr="0050243A" w14:paraId="0178F1E3" w14:textId="77777777" w:rsidTr="009065FD">
        <w:tc>
          <w:tcPr>
            <w:tcW w:w="257" w:type="dxa"/>
            <w:vAlign w:val="center"/>
          </w:tcPr>
          <w:p w14:paraId="1019E3A5" w14:textId="77777777" w:rsidR="009065FD" w:rsidRPr="0050243A" w:rsidRDefault="009065FD" w:rsidP="008546EF">
            <w:pPr>
              <w:ind w:right="78"/>
              <w:jc w:val="center"/>
              <w:rPr>
                <w:iCs/>
                <w:color w:val="000000" w:themeColor="text1"/>
                <w:sz w:val="20"/>
                <w:szCs w:val="20"/>
              </w:rPr>
            </w:pPr>
          </w:p>
        </w:tc>
        <w:tc>
          <w:tcPr>
            <w:tcW w:w="7242" w:type="dxa"/>
            <w:vAlign w:val="center"/>
          </w:tcPr>
          <w:p w14:paraId="4C3EDAD3" w14:textId="77777777" w:rsidR="009065FD" w:rsidRPr="0050243A" w:rsidRDefault="009065FD" w:rsidP="008546EF">
            <w:pPr>
              <w:ind w:right="78"/>
              <w:jc w:val="center"/>
              <w:rPr>
                <w:color w:val="000000" w:themeColor="text1"/>
                <w:sz w:val="20"/>
                <w:szCs w:val="20"/>
              </w:rPr>
            </w:pPr>
          </w:p>
        </w:tc>
        <w:tc>
          <w:tcPr>
            <w:tcW w:w="450" w:type="dxa"/>
            <w:vAlign w:val="center"/>
          </w:tcPr>
          <w:p w14:paraId="225DBF19" w14:textId="77777777" w:rsidR="009065FD" w:rsidRPr="0050243A" w:rsidRDefault="009065FD" w:rsidP="008546EF">
            <w:pPr>
              <w:ind w:right="78"/>
              <w:jc w:val="center"/>
              <w:rPr>
                <w:iCs/>
                <w:color w:val="000000" w:themeColor="text1"/>
                <w:sz w:val="20"/>
                <w:szCs w:val="20"/>
              </w:rPr>
            </w:pPr>
          </w:p>
        </w:tc>
      </w:tr>
    </w:tbl>
    <w:p w14:paraId="3BEC3E4A" w14:textId="77777777" w:rsidR="00191ABF" w:rsidRDefault="00191ABF" w:rsidP="008546EF">
      <w:pPr>
        <w:spacing w:line="324" w:lineRule="auto"/>
        <w:ind w:right="78"/>
        <w:jc w:val="both"/>
        <w:rPr>
          <w:color w:val="000000" w:themeColor="text1"/>
          <w:sz w:val="20"/>
          <w:szCs w:val="20"/>
        </w:rPr>
      </w:pPr>
      <w:r w:rsidRPr="0050243A">
        <w:rPr>
          <w:color w:val="000000" w:themeColor="text1"/>
          <w:sz w:val="20"/>
          <w:szCs w:val="20"/>
        </w:rPr>
        <w:t xml:space="preserve">Here, </w:t>
      </w: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Y</m:t>
            </m:r>
          </m:e>
          <m:sub>
            <m:r>
              <w:rPr>
                <w:rFonts w:ascii="Cambria Math" w:hAnsi="Cambria Math"/>
                <w:color w:val="000000" w:themeColor="text1"/>
                <w:sz w:val="20"/>
                <w:szCs w:val="20"/>
              </w:rPr>
              <m:t>t</m:t>
            </m:r>
          </m:sub>
        </m:sSub>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r>
              <m:rPr>
                <m:scr m:val="double-struck"/>
              </m:rPr>
              <w:rPr>
                <w:rFonts w:ascii="Cambria Math" w:hAnsi="Cambria Math"/>
                <w:color w:val="000000" w:themeColor="text1"/>
                <w:sz w:val="20"/>
                <w:szCs w:val="20"/>
              </w:rPr>
              <m:t>R</m:t>
            </m:r>
          </m:e>
          <m:sup>
            <m:r>
              <w:rPr>
                <w:rFonts w:ascii="Cambria Math" w:hAnsi="Cambria Math"/>
                <w:color w:val="000000" w:themeColor="text1"/>
                <w:sz w:val="20"/>
                <w:szCs w:val="20"/>
              </w:rPr>
              <m:t>k</m:t>
            </m:r>
          </m:sup>
        </m:sSup>
      </m:oMath>
      <w:r w:rsidRPr="0050243A">
        <w:rPr>
          <w:color w:val="000000" w:themeColor="text1"/>
          <w:sz w:val="20"/>
          <w:szCs w:val="20"/>
        </w:rPr>
        <w:t xml:space="preserve">  denotes vector of K endogenous variable at time </w:t>
      </w:r>
      <m:oMath>
        <m:r>
          <w:rPr>
            <w:rFonts w:ascii="Cambria Math" w:hAnsi="Cambria Math"/>
            <w:color w:val="000000" w:themeColor="text1"/>
            <w:sz w:val="20"/>
            <w:szCs w:val="20"/>
          </w:rPr>
          <m:t>t</m:t>
        </m:r>
      </m:oMath>
      <w:r w:rsidRPr="0050243A">
        <w:rPr>
          <w:color w:val="000000" w:themeColor="text1"/>
          <w:sz w:val="20"/>
          <w:szCs w:val="20"/>
        </w:rPr>
        <w:t xml:space="preserve">. The matrices  </w:t>
      </w: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A</m:t>
            </m:r>
          </m:e>
          <m:sub>
            <m:r>
              <w:rPr>
                <w:rFonts w:ascii="Cambria Math" w:hAnsi="Cambria Math"/>
                <w:color w:val="000000" w:themeColor="text1"/>
                <w:sz w:val="20"/>
                <w:szCs w:val="20"/>
              </w:rPr>
              <m:t>1i</m:t>
            </m:r>
          </m:sub>
        </m:sSub>
        <m:r>
          <w:rPr>
            <w:rFonts w:ascii="Cambria Math" w:hAnsi="Cambria Math"/>
            <w:color w:val="000000" w:themeColor="text1"/>
            <w:sz w:val="20"/>
            <w:szCs w:val="20"/>
          </w:rPr>
          <m:t xml:space="preserve"> and </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A</m:t>
            </m:r>
          </m:e>
          <m:sub>
            <m:r>
              <w:rPr>
                <w:rFonts w:ascii="Cambria Math" w:hAnsi="Cambria Math"/>
                <w:color w:val="000000" w:themeColor="text1"/>
                <w:sz w:val="20"/>
                <w:szCs w:val="20"/>
              </w:rPr>
              <m:t>2i</m:t>
            </m:r>
          </m:sub>
        </m:sSub>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r>
              <m:rPr>
                <m:scr m:val="double-struck"/>
              </m:rPr>
              <w:rPr>
                <w:rFonts w:ascii="Cambria Math" w:hAnsi="Cambria Math"/>
                <w:color w:val="000000" w:themeColor="text1"/>
                <w:sz w:val="20"/>
                <w:szCs w:val="20"/>
              </w:rPr>
              <m:t>R</m:t>
            </m:r>
          </m:e>
          <m:sup>
            <m:r>
              <w:rPr>
                <w:rFonts w:ascii="Cambria Math" w:hAnsi="Cambria Math"/>
                <w:color w:val="000000" w:themeColor="text1"/>
                <w:sz w:val="20"/>
                <w:szCs w:val="20"/>
              </w:rPr>
              <m:t>k×k</m:t>
            </m:r>
          </m:sup>
        </m:sSup>
      </m:oMath>
      <w:r w:rsidRPr="0050243A">
        <w:rPr>
          <w:color w:val="000000" w:themeColor="text1"/>
          <w:sz w:val="20"/>
          <w:szCs w:val="20"/>
        </w:rPr>
        <w:t xml:space="preserve"> represents the regime-specific autoregressive coefficients ant lag 1, while </w:t>
      </w: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μ</m:t>
            </m:r>
          </m:e>
          <m:sub>
            <m:r>
              <w:rPr>
                <w:rFonts w:ascii="Cambria Math" w:hAnsi="Cambria Math"/>
                <w:color w:val="000000" w:themeColor="text1"/>
                <w:sz w:val="20"/>
                <w:szCs w:val="20"/>
              </w:rPr>
              <m:t>1</m:t>
            </m:r>
          </m:sub>
        </m:sSub>
        <m:r>
          <w:rPr>
            <w:rFonts w:ascii="Cambria Math" w:hAnsi="Cambria Math"/>
            <w:color w:val="000000" w:themeColor="text1"/>
            <w:sz w:val="20"/>
            <w:szCs w:val="20"/>
          </w:rPr>
          <m:t xml:space="preserve"> and </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μ</m:t>
            </m:r>
          </m:e>
          <m:sub>
            <m:r>
              <w:rPr>
                <w:rFonts w:ascii="Cambria Math" w:hAnsi="Cambria Math"/>
                <w:color w:val="000000" w:themeColor="text1"/>
                <w:sz w:val="20"/>
                <w:szCs w:val="20"/>
              </w:rPr>
              <m:t>2</m:t>
            </m:r>
          </m:sub>
        </m:sSub>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r>
              <m:rPr>
                <m:scr m:val="double-struck"/>
              </m:rPr>
              <w:rPr>
                <w:rFonts w:ascii="Cambria Math" w:hAnsi="Cambria Math"/>
                <w:color w:val="000000" w:themeColor="text1"/>
                <w:sz w:val="20"/>
                <w:szCs w:val="20"/>
              </w:rPr>
              <m:t>R</m:t>
            </m:r>
          </m:e>
          <m:sup>
            <m:r>
              <w:rPr>
                <w:rFonts w:ascii="Cambria Math" w:hAnsi="Cambria Math"/>
                <w:color w:val="000000" w:themeColor="text1"/>
                <w:sz w:val="20"/>
                <w:szCs w:val="20"/>
              </w:rPr>
              <m:t>k</m:t>
            </m:r>
          </m:sup>
        </m:sSup>
      </m:oMath>
      <w:r w:rsidRPr="0050243A">
        <w:rPr>
          <w:color w:val="000000" w:themeColor="text1"/>
          <w:sz w:val="20"/>
          <w:szCs w:val="20"/>
        </w:rPr>
        <w:t xml:space="preserve"> are the intercept vectors for Regime 1 and Regime 2, respectively. The error terms </w:t>
      </w: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ε</m:t>
            </m:r>
          </m:e>
          <m:sub>
            <m:r>
              <w:rPr>
                <w:rFonts w:ascii="Cambria Math" w:hAnsi="Cambria Math"/>
                <w:color w:val="000000" w:themeColor="text1"/>
                <w:sz w:val="20"/>
                <w:szCs w:val="20"/>
              </w:rPr>
              <m:t xml:space="preserve">1t </m:t>
            </m:r>
          </m:sub>
        </m:sSub>
        <m:r>
          <w:rPr>
            <w:rFonts w:ascii="Cambria Math" w:hAnsi="Cambria Math"/>
            <w:color w:val="000000" w:themeColor="text1"/>
            <w:sz w:val="20"/>
            <w:szCs w:val="20"/>
          </w:rPr>
          <m:t xml:space="preserve">and </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ε</m:t>
            </m:r>
          </m:e>
          <m:sub>
            <m:r>
              <w:rPr>
                <w:rFonts w:ascii="Cambria Math" w:hAnsi="Cambria Math"/>
                <w:color w:val="000000" w:themeColor="text1"/>
                <w:sz w:val="20"/>
                <w:szCs w:val="20"/>
              </w:rPr>
              <m:t>2t</m:t>
            </m:r>
          </m:sub>
        </m:sSub>
        <m:r>
          <w:rPr>
            <w:rFonts w:ascii="Cambria Math" w:hAnsi="Cambria Math"/>
            <w:color w:val="000000" w:themeColor="text1"/>
            <w:sz w:val="20"/>
            <w:szCs w:val="20"/>
          </w:rPr>
          <m:t xml:space="preserve"> </m:t>
        </m:r>
      </m:oMath>
      <w:r w:rsidRPr="0050243A">
        <w:rPr>
          <w:color w:val="000000" w:themeColor="text1"/>
          <w:sz w:val="20"/>
          <w:szCs w:val="20"/>
        </w:rPr>
        <w:t>are assumed to follow a multivariate normal distribution with zero mean and regime-specific covariance matrices</w:t>
      </w:r>
      <m:oMath>
        <m:r>
          <w:rPr>
            <w:rFonts w:ascii="Cambria Math" w:hAnsi="Cambria Math"/>
            <w:color w:val="000000" w:themeColor="text1"/>
            <w:sz w:val="20"/>
            <w:szCs w:val="20"/>
          </w:rPr>
          <m:t xml:space="preserve"> </m:t>
        </m:r>
        <m:sSub>
          <m:sSubPr>
            <m:ctrlPr>
              <w:rPr>
                <w:rFonts w:ascii="Cambria Math" w:hAnsi="Cambria Math"/>
                <w:iCs/>
                <w:color w:val="000000" w:themeColor="text1"/>
                <w:sz w:val="20"/>
                <w:szCs w:val="20"/>
              </w:rPr>
            </m:ctrlPr>
          </m:sSubPr>
          <m:e>
            <m:r>
              <m:rPr>
                <m:sty m:val="p"/>
              </m:rPr>
              <w:rPr>
                <w:rFonts w:ascii="Cambria Math" w:hAnsi="Cambria Math"/>
                <w:color w:val="000000" w:themeColor="text1"/>
                <w:sz w:val="20"/>
                <w:szCs w:val="20"/>
              </w:rPr>
              <m:t>∑</m:t>
            </m:r>
          </m:e>
          <m:sub>
            <m:r>
              <m:rPr>
                <m:sty m:val="p"/>
              </m:rPr>
              <w:rPr>
                <w:rFonts w:ascii="Cambria Math" w:hAnsi="Cambria Math"/>
                <w:color w:val="000000" w:themeColor="text1"/>
                <w:sz w:val="20"/>
                <w:szCs w:val="20"/>
              </w:rPr>
              <m:t>1</m:t>
            </m:r>
          </m:sub>
        </m:sSub>
        <m:r>
          <m:rPr>
            <m:sty m:val="p"/>
          </m:rPr>
          <w:rPr>
            <w:rFonts w:ascii="Cambria Math" w:hAnsi="Cambria Math"/>
            <w:color w:val="000000" w:themeColor="text1"/>
            <w:sz w:val="20"/>
            <w:szCs w:val="20"/>
          </w:rPr>
          <m:t>and</m:t>
        </m:r>
        <m:sSub>
          <m:sSubPr>
            <m:ctrlPr>
              <w:rPr>
                <w:rFonts w:ascii="Cambria Math" w:hAnsi="Cambria Math"/>
                <w:iCs/>
                <w:color w:val="000000" w:themeColor="text1"/>
                <w:sz w:val="20"/>
                <w:szCs w:val="20"/>
              </w:rPr>
            </m:ctrlPr>
          </m:sSubPr>
          <m:e>
            <m:r>
              <m:rPr>
                <m:sty m:val="p"/>
              </m:rPr>
              <w:rPr>
                <w:rFonts w:ascii="Cambria Math" w:hAnsi="Cambria Math"/>
                <w:color w:val="000000" w:themeColor="text1"/>
                <w:sz w:val="20"/>
                <w:szCs w:val="20"/>
              </w:rPr>
              <m:t xml:space="preserve"> ∑</m:t>
            </m:r>
          </m:e>
          <m:sub>
            <m:r>
              <m:rPr>
                <m:sty m:val="p"/>
              </m:rPr>
              <w:rPr>
                <w:rFonts w:ascii="Cambria Math" w:hAnsi="Cambria Math"/>
                <w:color w:val="000000" w:themeColor="text1"/>
                <w:sz w:val="20"/>
                <w:szCs w:val="20"/>
              </w:rPr>
              <m:t>2</m:t>
            </m:r>
          </m:sub>
        </m:sSub>
      </m:oMath>
      <w:r w:rsidRPr="0050243A">
        <w:rPr>
          <w:color w:val="000000" w:themeColor="text1"/>
          <w:sz w:val="20"/>
          <w:szCs w:val="20"/>
        </w:rPr>
        <w:t xml:space="preserve">. The threshold variable </w:t>
      </w: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q</m:t>
            </m:r>
          </m:e>
          <m:sub>
            <m:r>
              <w:rPr>
                <w:rFonts w:ascii="Cambria Math" w:hAnsi="Cambria Math"/>
                <w:color w:val="000000" w:themeColor="text1"/>
                <w:sz w:val="20"/>
                <w:szCs w:val="20"/>
              </w:rPr>
              <m:t>t-d</m:t>
            </m:r>
          </m:sub>
        </m:sSub>
      </m:oMath>
      <w:r w:rsidRPr="0050243A">
        <w:rPr>
          <w:color w:val="000000" w:themeColor="text1"/>
          <w:sz w:val="20"/>
          <w:szCs w:val="20"/>
        </w:rPr>
        <w:t xml:space="preserve">, evaluated at lag </w:t>
      </w:r>
      <m:oMath>
        <m:r>
          <w:rPr>
            <w:rFonts w:ascii="Cambria Math" w:hAnsi="Cambria Math"/>
            <w:color w:val="000000" w:themeColor="text1"/>
            <w:sz w:val="20"/>
            <w:szCs w:val="20"/>
          </w:rPr>
          <m:t>d</m:t>
        </m:r>
      </m:oMath>
      <w:r w:rsidRPr="0050243A">
        <w:rPr>
          <w:color w:val="000000" w:themeColor="text1"/>
          <w:sz w:val="20"/>
          <w:szCs w:val="20"/>
        </w:rPr>
        <w:t xml:space="preserve">, governs the switching mechanism between regimes, based on whether it exceeds the threshold value </w:t>
      </w:r>
      <m:oMath>
        <m:r>
          <w:rPr>
            <w:rFonts w:ascii="Cambria Math" w:hAnsi="Cambria Math"/>
            <w:color w:val="000000" w:themeColor="text1"/>
            <w:sz w:val="20"/>
            <w:szCs w:val="20"/>
          </w:rPr>
          <m:t>γ</m:t>
        </m:r>
        <m:r>
          <m:rPr>
            <m:scr m:val="double-struck"/>
          </m:rPr>
          <w:rPr>
            <w:rFonts w:ascii="Cambria Math" w:hAnsi="Cambria Math"/>
            <w:color w:val="000000" w:themeColor="text1"/>
            <w:sz w:val="20"/>
            <w:szCs w:val="20"/>
          </w:rPr>
          <m:t>∈R</m:t>
        </m:r>
      </m:oMath>
      <w:r w:rsidRPr="0050243A">
        <w:rPr>
          <w:color w:val="000000" w:themeColor="text1"/>
          <w:sz w:val="20"/>
          <w:szCs w:val="20"/>
        </w:rPr>
        <w:t xml:space="preserve">. The indicator function </w:t>
      </w:r>
      <m:oMath>
        <m:nary>
          <m:naryPr>
            <m:chr m:val="∏"/>
            <m:limLoc m:val="undOvr"/>
            <m:subHide m:val="1"/>
            <m:supHide m:val="1"/>
            <m:ctrlPr>
              <w:rPr>
                <w:rFonts w:ascii="Cambria Math" w:hAnsi="Cambria Math"/>
                <w:i/>
                <w:color w:val="000000" w:themeColor="text1"/>
                <w:sz w:val="20"/>
                <w:szCs w:val="20"/>
              </w:rPr>
            </m:ctrlPr>
          </m:naryPr>
          <m:sub/>
          <m:sup/>
          <m:e>
            <m:d>
              <m:dPr>
                <m:ctrlPr>
                  <w:rPr>
                    <w:rFonts w:ascii="Cambria Math" w:hAnsi="Cambria Math"/>
                    <w:i/>
                    <w:color w:val="000000" w:themeColor="text1"/>
                    <w:sz w:val="20"/>
                    <w:szCs w:val="20"/>
                  </w:rPr>
                </m:ctrlPr>
              </m:dPr>
              <m:e>
                <m:r>
                  <w:rPr>
                    <w:rFonts w:ascii="Cambria Math" w:hAnsi="Cambria Math"/>
                    <w:color w:val="000000" w:themeColor="text1"/>
                    <w:sz w:val="20"/>
                    <w:szCs w:val="20"/>
                  </w:rPr>
                  <m:t>.</m:t>
                </m:r>
              </m:e>
            </m:d>
          </m:e>
        </m:nary>
      </m:oMath>
      <w:r w:rsidRPr="0050243A">
        <w:rPr>
          <w:color w:val="000000" w:themeColor="text1"/>
          <w:sz w:val="20"/>
          <w:szCs w:val="20"/>
        </w:rPr>
        <w:t xml:space="preserve"> takes the value 1 if the condition is satisfied and 0 otherwise, and P denotes the lag order of the TVAR process</w:t>
      </w:r>
      <w:sdt>
        <w:sdtPr>
          <w:rPr>
            <w:color w:val="000000"/>
            <w:sz w:val="20"/>
            <w:szCs w:val="20"/>
          </w:rPr>
          <w:tag w:val="MENDELEY_CITATION_v3_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"/>
          <w:id w:val="-1607258543"/>
          <w:placeholder>
            <w:docPart w:val="31E3ED1B8C5D4E5F964ED93C36DBD2A2"/>
          </w:placeholder>
        </w:sdtPr>
        <w:sdtContent>
          <w:r w:rsidRPr="0050243A">
            <w:rPr>
              <w:color w:val="000000"/>
              <w:sz w:val="20"/>
              <w:szCs w:val="20"/>
            </w:rPr>
            <w:t>(Tsay, 1998)</w:t>
          </w:r>
        </w:sdtContent>
      </w:sdt>
      <w:r w:rsidRPr="0050243A">
        <w:rPr>
          <w:color w:val="000000" w:themeColor="text1"/>
          <w:sz w:val="20"/>
          <w:szCs w:val="20"/>
        </w:rPr>
        <w:t>.</w:t>
      </w:r>
    </w:p>
    <w:p w14:paraId="6E54F361" w14:textId="77777777" w:rsidR="009065FD" w:rsidRPr="0050243A" w:rsidRDefault="009065FD" w:rsidP="008546EF">
      <w:pPr>
        <w:ind w:right="78"/>
        <w:jc w:val="both"/>
        <w:rPr>
          <w:color w:val="000000" w:themeColor="text1"/>
          <w:sz w:val="20"/>
          <w:szCs w:val="20"/>
        </w:rPr>
      </w:pPr>
    </w:p>
    <w:p w14:paraId="74BDE5CB" w14:textId="77777777" w:rsidR="009065FD" w:rsidRDefault="009065FD" w:rsidP="008546EF">
      <w:pPr>
        <w:ind w:right="78"/>
        <w:jc w:val="both"/>
        <w:rPr>
          <w:b/>
          <w:bCs/>
          <w:color w:val="000000" w:themeColor="text1"/>
          <w:sz w:val="20"/>
          <w:szCs w:val="20"/>
        </w:rPr>
      </w:pPr>
    </w:p>
    <w:p w14:paraId="711E7A17" w14:textId="45554ED4" w:rsidR="00191ABF" w:rsidRDefault="00191ABF" w:rsidP="008546EF">
      <w:pPr>
        <w:ind w:right="78"/>
        <w:jc w:val="both"/>
        <w:rPr>
          <w:b/>
          <w:bCs/>
          <w:color w:val="000000" w:themeColor="text1"/>
          <w:sz w:val="20"/>
          <w:szCs w:val="20"/>
        </w:rPr>
      </w:pPr>
      <w:r w:rsidRPr="0050243A">
        <w:rPr>
          <w:b/>
          <w:bCs/>
          <w:color w:val="000000" w:themeColor="text1"/>
          <w:sz w:val="20"/>
          <w:szCs w:val="20"/>
        </w:rPr>
        <w:lastRenderedPageBreak/>
        <w:t>Threshold VAR (TVAR) Model for Remittance</w:t>
      </w:r>
    </w:p>
    <w:p w14:paraId="1DDB57E1" w14:textId="77777777" w:rsidR="009065FD" w:rsidRPr="0050243A" w:rsidRDefault="009065FD" w:rsidP="008546EF">
      <w:pPr>
        <w:ind w:right="78"/>
        <w:jc w:val="both"/>
        <w:rPr>
          <w:b/>
          <w:bCs/>
          <w:color w:val="000000" w:themeColor="text1"/>
          <w:sz w:val="20"/>
          <w:szCs w:val="20"/>
        </w:rPr>
      </w:pPr>
    </w:p>
    <w:p w14:paraId="393EC30F" w14:textId="77777777" w:rsidR="00191ABF" w:rsidRDefault="00191ABF" w:rsidP="008546EF">
      <w:pPr>
        <w:spacing w:line="324" w:lineRule="auto"/>
        <w:ind w:right="78"/>
        <w:jc w:val="both"/>
        <w:rPr>
          <w:color w:val="000000" w:themeColor="text1"/>
          <w:sz w:val="20"/>
          <w:szCs w:val="20"/>
        </w:rPr>
      </w:pPr>
      <w:r w:rsidRPr="0050243A">
        <w:rPr>
          <w:color w:val="000000" w:themeColor="text1"/>
          <w:sz w:val="20"/>
          <w:szCs w:val="20"/>
        </w:rPr>
        <w:t>Assume a two-regime TVAR (</w:t>
      </w:r>
      <w:r w:rsidRPr="0050243A">
        <w:rPr>
          <w:rStyle w:val="katex-mathml"/>
          <w:color w:val="000000" w:themeColor="text1"/>
          <w:sz w:val="20"/>
          <w:szCs w:val="20"/>
        </w:rPr>
        <w:t>p</w:t>
      </w:r>
      <w:r w:rsidRPr="0050243A">
        <w:rPr>
          <w:color w:val="000000" w:themeColor="text1"/>
          <w:sz w:val="20"/>
          <w:szCs w:val="20"/>
        </w:rPr>
        <w:t xml:space="preserve">) process, where the dynamics of Remittance depend on whether a threshold variable </w:t>
      </w:r>
      <m:oMath>
        <m:sSub>
          <m:sSubPr>
            <m:ctrlPr>
              <w:rPr>
                <w:rFonts w:ascii="Cambria Math" w:hAnsi="Cambria Math"/>
                <w:color w:val="000000" w:themeColor="text1"/>
                <w:sz w:val="20"/>
                <w:szCs w:val="20"/>
              </w:rPr>
            </m:ctrlPr>
          </m:sSubPr>
          <m:e>
            <m:r>
              <m:rPr>
                <m:sty m:val="p"/>
              </m:rPr>
              <w:rPr>
                <w:rFonts w:ascii="Cambria Math" w:hAnsi="Cambria Math"/>
                <w:color w:val="000000" w:themeColor="text1"/>
                <w:sz w:val="20"/>
                <w:szCs w:val="20"/>
              </w:rPr>
              <m:t>q</m:t>
            </m:r>
          </m:e>
          <m:sub>
            <m:r>
              <m:rPr>
                <m:sty m:val="p"/>
              </m:rPr>
              <w:rPr>
                <w:rFonts w:ascii="Cambria Math" w:hAnsi="Cambria Math"/>
                <w:color w:val="000000" w:themeColor="text1"/>
                <w:sz w:val="20"/>
                <w:szCs w:val="20"/>
              </w:rPr>
              <m:t>t-d</m:t>
            </m:r>
          </m:sub>
        </m:sSub>
      </m:oMath>
      <w:r w:rsidRPr="0050243A">
        <w:rPr>
          <w:color w:val="000000" w:themeColor="text1"/>
          <w:sz w:val="20"/>
          <w:szCs w:val="20"/>
        </w:rPr>
        <w:t xml:space="preserve"> is above or below a threshold </w:t>
      </w:r>
      <m:oMath>
        <m:r>
          <m:rPr>
            <m:sty m:val="p"/>
          </m:rPr>
          <w:rPr>
            <w:rFonts w:ascii="Cambria Math" w:hAnsi="Cambria Math"/>
            <w:color w:val="000000" w:themeColor="text1"/>
            <w:sz w:val="20"/>
            <w:szCs w:val="20"/>
          </w:rPr>
          <m:t>γ</m:t>
        </m:r>
      </m:oMath>
      <w:r w:rsidRPr="0050243A">
        <w:rPr>
          <w:color w:val="000000" w:themeColor="text1"/>
          <w:sz w:val="20"/>
          <w:szCs w:val="20"/>
        </w:rPr>
        <w:t xml:space="preserve">. The scalar equation for </w:t>
      </w:r>
      <w:r w:rsidRPr="0050243A">
        <w:rPr>
          <w:rStyle w:val="Strong"/>
          <w:b w:val="0"/>
          <w:bCs w:val="0"/>
          <w:color w:val="000000" w:themeColor="text1"/>
          <w:sz w:val="20"/>
          <w:szCs w:val="20"/>
        </w:rPr>
        <w:t>Remittance</w:t>
      </w:r>
      <w:r w:rsidRPr="0050243A">
        <w:rPr>
          <w:color w:val="000000" w:themeColor="text1"/>
          <w:sz w:val="20"/>
          <w:szCs w:val="20"/>
        </w:rPr>
        <w:t xml:space="preserve"> is written</w:t>
      </w:r>
      <w:sdt>
        <w:sdtPr>
          <w:rPr>
            <w:color w:val="000000"/>
            <w:sz w:val="20"/>
            <w:szCs w:val="20"/>
          </w:rPr>
          <w:tag w:val="MENDELEY_CITATION_v3_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"/>
          <w:id w:val="-187302228"/>
          <w:placeholder>
            <w:docPart w:val="31E3ED1B8C5D4E5F964ED93C36DBD2A2"/>
          </w:placeholder>
        </w:sdtPr>
        <w:sdtContent>
          <w:r w:rsidRPr="0050243A">
            <w:rPr>
              <w:color w:val="000000"/>
              <w:sz w:val="20"/>
              <w:szCs w:val="20"/>
            </w:rPr>
            <w:t xml:space="preserve">(Blake &amp; Fomby, 1997; </w:t>
          </w:r>
          <w:proofErr w:type="spellStart"/>
          <w:r w:rsidRPr="0050243A">
            <w:rPr>
              <w:color w:val="000000"/>
              <w:sz w:val="20"/>
              <w:szCs w:val="20"/>
            </w:rPr>
            <w:t>Grynkiv</w:t>
          </w:r>
          <w:proofErr w:type="spellEnd"/>
          <w:r w:rsidRPr="0050243A">
            <w:rPr>
              <w:color w:val="000000"/>
              <w:sz w:val="20"/>
              <w:szCs w:val="20"/>
            </w:rPr>
            <w:t xml:space="preserve"> &amp; Stentoft, 2018; Tsay, 1998)</w:t>
          </w:r>
        </w:sdtContent>
      </w:sdt>
      <w:r w:rsidRPr="0050243A">
        <w:rPr>
          <w:color w:val="000000" w:themeColor="text1"/>
          <w:sz w:val="20"/>
          <w:szCs w:val="20"/>
        </w:rPr>
        <w:t xml:space="preserve"> as:</w:t>
      </w:r>
    </w:p>
    <w:p w14:paraId="37CDF649" w14:textId="77777777" w:rsidR="00191ABF" w:rsidRDefault="00191ABF" w:rsidP="008546EF">
      <w:pPr>
        <w:ind w:right="78"/>
        <w:jc w:val="both"/>
        <w:rPr>
          <w:color w:val="000000" w:themeColor="text1"/>
          <w:sz w:val="20"/>
          <w:szCs w:val="20"/>
        </w:rPr>
      </w:pPr>
      <w:r w:rsidRPr="0050243A">
        <w:rPr>
          <w:color w:val="000000" w:themeColor="text1"/>
          <w:sz w:val="20"/>
          <w:szCs w:val="20"/>
        </w:rPr>
        <w:t xml:space="preserve">Regime 1 (Low regime: </w:t>
      </w:r>
      <m:oMath>
        <m:sSub>
          <m:sSubPr>
            <m:ctrlPr>
              <w:rPr>
                <w:rFonts w:ascii="Cambria Math" w:hAnsi="Cambria Math"/>
                <w:color w:val="000000" w:themeColor="text1"/>
                <w:sz w:val="20"/>
                <w:szCs w:val="20"/>
              </w:rPr>
            </m:ctrlPr>
          </m:sSubPr>
          <m:e>
            <m:r>
              <m:rPr>
                <m:sty m:val="p"/>
              </m:rPr>
              <w:rPr>
                <w:rFonts w:ascii="Cambria Math" w:hAnsi="Cambria Math"/>
                <w:color w:val="000000" w:themeColor="text1"/>
                <w:sz w:val="20"/>
                <w:szCs w:val="20"/>
              </w:rPr>
              <m:t>q</m:t>
            </m:r>
          </m:e>
          <m:sub>
            <m:r>
              <m:rPr>
                <m:sty m:val="p"/>
              </m:rPr>
              <w:rPr>
                <w:rFonts w:ascii="Cambria Math" w:hAnsi="Cambria Math"/>
                <w:color w:val="000000" w:themeColor="text1"/>
                <w:sz w:val="20"/>
                <w:szCs w:val="20"/>
              </w:rPr>
              <m:t>t-d</m:t>
            </m:r>
          </m:sub>
        </m:sSub>
        <m:r>
          <m:rPr>
            <m:sty m:val="p"/>
          </m:rPr>
          <w:rPr>
            <w:rFonts w:ascii="Cambria Math" w:hAnsi="Cambria Math"/>
            <w:color w:val="000000" w:themeColor="text1"/>
            <w:sz w:val="20"/>
            <w:szCs w:val="20"/>
          </w:rPr>
          <m:t>≤γ</m:t>
        </m:r>
      </m:oMath>
      <w:r w:rsidRPr="0050243A">
        <w:rPr>
          <w:color w:val="000000" w:themeColor="text1"/>
          <w:sz w:val="20"/>
          <w:szCs w:val="20"/>
        </w:rPr>
        <w:t>):</w:t>
      </w:r>
    </w:p>
    <w:p w14:paraId="7F3CF6CD" w14:textId="77777777" w:rsidR="00E26A69" w:rsidRPr="0050243A" w:rsidRDefault="00E26A69" w:rsidP="008546EF">
      <w:pPr>
        <w:ind w:right="78"/>
        <w:jc w:val="both"/>
        <w:rPr>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
        <w:gridCol w:w="7164"/>
        <w:gridCol w:w="528"/>
      </w:tblGrid>
      <w:tr w:rsidR="00191ABF" w:rsidRPr="0050243A" w14:paraId="3BA96E81" w14:textId="77777777" w:rsidTr="002B4E8F">
        <w:trPr>
          <w:trHeight w:val="20"/>
        </w:trPr>
        <w:tc>
          <w:tcPr>
            <w:tcW w:w="265" w:type="dxa"/>
            <w:vAlign w:val="center"/>
          </w:tcPr>
          <w:p w14:paraId="736E0E35" w14:textId="77777777" w:rsidR="00191ABF" w:rsidRPr="0050243A" w:rsidRDefault="00191ABF" w:rsidP="008546EF">
            <w:pPr>
              <w:ind w:right="78"/>
              <w:jc w:val="center"/>
              <w:rPr>
                <w:rFonts w:ascii="Times New Roman" w:hAnsi="Times New Roman" w:cs="Times New Roman"/>
                <w:color w:val="000000" w:themeColor="text1"/>
                <w:sz w:val="20"/>
                <w:szCs w:val="20"/>
              </w:rPr>
            </w:pPr>
          </w:p>
        </w:tc>
        <w:tc>
          <w:tcPr>
            <w:tcW w:w="8370" w:type="dxa"/>
            <w:vAlign w:val="center"/>
          </w:tcPr>
          <w:p w14:paraId="6023F03A" w14:textId="77777777" w:rsidR="00191ABF" w:rsidRPr="0050243A" w:rsidRDefault="00000000" w:rsidP="008546EF">
            <w:pPr>
              <w:ind w:right="78"/>
              <w:jc w:val="center"/>
              <w:rPr>
                <w:rFonts w:ascii="Times New Roman" w:hAnsi="Times New Roman" w:cs="Times New Roman"/>
                <w:color w:val="000000" w:themeColor="text1"/>
                <w:sz w:val="20"/>
                <w:szCs w:val="20"/>
              </w:rPr>
            </w:pPr>
            <m:oMathPara>
              <m:oMath>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Remit</m:t>
                    </m:r>
                  </m:e>
                  <m:sub>
                    <m:r>
                      <m:rPr>
                        <m:sty m:val="p"/>
                      </m:rPr>
                      <w:rPr>
                        <w:rFonts w:ascii="Cambria Math" w:hAnsi="Cambria Math" w:cs="Times New Roman"/>
                        <w:color w:val="000000" w:themeColor="text1"/>
                        <w:sz w:val="20"/>
                        <w:szCs w:val="20"/>
                      </w:rPr>
                      <m:t>t</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α</m:t>
                    </m:r>
                  </m:e>
                  <m:sub>
                    <m:r>
                      <w:rPr>
                        <w:rFonts w:ascii="Cambria Math" w:hAnsi="Cambria Math" w:cs="Times New Roman"/>
                        <w:color w:val="000000" w:themeColor="text1"/>
                        <w:sz w:val="20"/>
                        <w:szCs w:val="20"/>
                      </w:rPr>
                      <m:t>1</m:t>
                    </m:r>
                  </m:sub>
                </m:sSub>
                <m:r>
                  <w:rPr>
                    <w:rFonts w:ascii="Cambria Math" w:hAnsi="Cambria Math" w:cs="Times New Roman"/>
                    <w:color w:val="000000" w:themeColor="text1"/>
                    <w:sz w:val="20"/>
                    <w:szCs w:val="20"/>
                  </w:rPr>
                  <m:t>+</m:t>
                </m:r>
                <m:nary>
                  <m:naryPr>
                    <m:chr m:val="∑"/>
                    <m:limLoc m:val="undOvr"/>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i=1</m:t>
                    </m:r>
                  </m:sub>
                  <m:sup>
                    <m:r>
                      <w:rPr>
                        <w:rFonts w:ascii="Cambria Math" w:hAnsi="Cambria Math" w:cs="Times New Roman"/>
                        <w:color w:val="000000" w:themeColor="text1"/>
                        <w:sz w:val="20"/>
                        <w:szCs w:val="20"/>
                      </w:rPr>
                      <m:t>p</m:t>
                    </m:r>
                  </m:sup>
                  <m:e>
                    <m:d>
                      <m:dPr>
                        <m:ctrlPr>
                          <w:rPr>
                            <w:rFonts w:ascii="Cambria Math" w:hAnsi="Cambria Math" w:cs="Times New Roman"/>
                            <w:i/>
                            <w:color w:val="000000" w:themeColor="text1"/>
                            <w:sz w:val="20"/>
                            <w:szCs w:val="20"/>
                          </w:rPr>
                        </m:ctrlPr>
                      </m:dPr>
                      <m:e>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1i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1</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Remit</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2i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1</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GDP</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3i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1</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Unem</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4i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1</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Exch</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5i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1</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Inf</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6i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1</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Lending</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7i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1</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Interest</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8i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1</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Poli</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9i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1</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Corrup</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10i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1</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Govt_e</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11i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1</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Over</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ε</m:t>
                            </m:r>
                          </m:e>
                          <m:sub>
                            <m:r>
                              <w:rPr>
                                <w:rFonts w:ascii="Cambria Math" w:hAnsi="Cambria Math" w:cs="Times New Roman"/>
                                <w:color w:val="000000" w:themeColor="text1"/>
                                <w:sz w:val="20"/>
                                <w:szCs w:val="20"/>
                              </w:rPr>
                              <m:t>t,1</m:t>
                            </m:r>
                          </m:sub>
                          <m:sup>
                            <m:r>
                              <w:rPr>
                                <w:rFonts w:ascii="Cambria Math" w:hAnsi="Cambria Math" w:cs="Times New Roman"/>
                                <w:color w:val="000000" w:themeColor="text1"/>
                                <w:sz w:val="20"/>
                                <w:szCs w:val="20"/>
                              </w:rPr>
                              <m:t>(1)</m:t>
                            </m:r>
                          </m:sup>
                        </m:sSubSup>
                      </m:e>
                    </m:d>
                  </m:e>
                </m:nary>
                <m:r>
                  <w:rPr>
                    <w:rFonts w:ascii="Cambria Math" w:hAnsi="Cambria Math" w:cs="Times New Roman"/>
                    <w:color w:val="000000" w:themeColor="text1"/>
                    <w:sz w:val="20"/>
                    <w:szCs w:val="20"/>
                  </w:rPr>
                  <m:t>.</m:t>
                </m:r>
              </m:oMath>
            </m:oMathPara>
          </w:p>
        </w:tc>
        <w:tc>
          <w:tcPr>
            <w:tcW w:w="381" w:type="dxa"/>
            <w:vAlign w:val="center"/>
          </w:tcPr>
          <w:p w14:paraId="5DC3CD57" w14:textId="77777777" w:rsidR="00191ABF" w:rsidRPr="0050243A" w:rsidRDefault="00191ABF" w:rsidP="008546EF">
            <w:pPr>
              <w:ind w:right="78"/>
              <w:jc w:val="center"/>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(3)</w:t>
            </w:r>
          </w:p>
        </w:tc>
      </w:tr>
    </w:tbl>
    <w:p w14:paraId="672A7B51" w14:textId="77777777" w:rsidR="00E26A69" w:rsidRDefault="00E26A69" w:rsidP="008546EF">
      <w:pPr>
        <w:ind w:right="78"/>
        <w:jc w:val="both"/>
        <w:rPr>
          <w:color w:val="000000" w:themeColor="text1"/>
          <w:sz w:val="20"/>
          <w:szCs w:val="20"/>
        </w:rPr>
      </w:pPr>
    </w:p>
    <w:p w14:paraId="6E0113EA" w14:textId="60D504EA" w:rsidR="00191ABF" w:rsidRDefault="00191ABF" w:rsidP="008546EF">
      <w:pPr>
        <w:ind w:right="78"/>
        <w:jc w:val="both"/>
        <w:rPr>
          <w:color w:val="000000" w:themeColor="text1"/>
          <w:sz w:val="20"/>
          <w:szCs w:val="20"/>
        </w:rPr>
      </w:pPr>
      <w:r w:rsidRPr="0050243A">
        <w:rPr>
          <w:color w:val="000000" w:themeColor="text1"/>
          <w:sz w:val="20"/>
          <w:szCs w:val="20"/>
        </w:rPr>
        <w:t xml:space="preserve">Regime 2 (High regime: </w:t>
      </w:r>
      <m:oMath>
        <m:sSub>
          <m:sSubPr>
            <m:ctrlPr>
              <w:rPr>
                <w:rFonts w:ascii="Cambria Math" w:hAnsi="Cambria Math"/>
                <w:color w:val="000000" w:themeColor="text1"/>
                <w:sz w:val="20"/>
                <w:szCs w:val="20"/>
              </w:rPr>
            </m:ctrlPr>
          </m:sSubPr>
          <m:e>
            <m:r>
              <m:rPr>
                <m:sty m:val="p"/>
              </m:rPr>
              <w:rPr>
                <w:rFonts w:ascii="Cambria Math" w:hAnsi="Cambria Math"/>
                <w:color w:val="000000" w:themeColor="text1"/>
                <w:sz w:val="20"/>
                <w:szCs w:val="20"/>
              </w:rPr>
              <m:t>q</m:t>
            </m:r>
          </m:e>
          <m:sub>
            <m:r>
              <m:rPr>
                <m:sty m:val="p"/>
              </m:rPr>
              <w:rPr>
                <w:rFonts w:ascii="Cambria Math" w:hAnsi="Cambria Math"/>
                <w:color w:val="000000" w:themeColor="text1"/>
                <w:sz w:val="20"/>
                <w:szCs w:val="20"/>
              </w:rPr>
              <m:t>t-d</m:t>
            </m:r>
          </m:sub>
        </m:sSub>
        <m:r>
          <m:rPr>
            <m:sty m:val="p"/>
          </m:rPr>
          <w:rPr>
            <w:rFonts w:ascii="Cambria Math" w:hAnsi="Cambria Math"/>
            <w:color w:val="000000" w:themeColor="text1"/>
            <w:sz w:val="20"/>
            <w:szCs w:val="20"/>
          </w:rPr>
          <m:t>&gt;γ</m:t>
        </m:r>
      </m:oMath>
      <w:r w:rsidRPr="0050243A">
        <w:rPr>
          <w:color w:val="000000" w:themeColor="text1"/>
          <w:sz w:val="20"/>
          <w:szCs w:val="20"/>
        </w:rPr>
        <w:t>):</w:t>
      </w:r>
    </w:p>
    <w:p w14:paraId="4F8B68B4" w14:textId="77777777" w:rsidR="00E26A69" w:rsidRPr="0050243A" w:rsidRDefault="00E26A69" w:rsidP="008546EF">
      <w:pPr>
        <w:ind w:right="78"/>
        <w:jc w:val="both"/>
        <w:rPr>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
        <w:gridCol w:w="7091"/>
        <w:gridCol w:w="528"/>
      </w:tblGrid>
      <w:tr w:rsidR="00191ABF" w:rsidRPr="0050243A" w14:paraId="455812ED" w14:textId="77777777" w:rsidTr="002B4E8F">
        <w:trPr>
          <w:trHeight w:val="20"/>
        </w:trPr>
        <w:tc>
          <w:tcPr>
            <w:tcW w:w="355" w:type="dxa"/>
            <w:vAlign w:val="center"/>
          </w:tcPr>
          <w:p w14:paraId="3A65FC08" w14:textId="77777777" w:rsidR="00191ABF" w:rsidRPr="0050243A" w:rsidRDefault="00191ABF" w:rsidP="008546EF">
            <w:pPr>
              <w:ind w:right="78"/>
              <w:jc w:val="center"/>
              <w:rPr>
                <w:rFonts w:ascii="Times New Roman" w:hAnsi="Times New Roman" w:cs="Times New Roman"/>
                <w:color w:val="000000" w:themeColor="text1"/>
                <w:sz w:val="20"/>
                <w:szCs w:val="20"/>
              </w:rPr>
            </w:pPr>
          </w:p>
        </w:tc>
        <w:tc>
          <w:tcPr>
            <w:tcW w:w="8280" w:type="dxa"/>
            <w:vAlign w:val="center"/>
          </w:tcPr>
          <w:p w14:paraId="75829AD7" w14:textId="77777777" w:rsidR="00191ABF" w:rsidRPr="0050243A" w:rsidRDefault="00000000" w:rsidP="008546EF">
            <w:pPr>
              <w:ind w:right="78"/>
              <w:jc w:val="center"/>
              <w:rPr>
                <w:rFonts w:ascii="Times New Roman" w:hAnsi="Times New Roman" w:cs="Times New Roman"/>
                <w:color w:val="000000" w:themeColor="text1"/>
                <w:sz w:val="20"/>
                <w:szCs w:val="20"/>
              </w:rPr>
            </w:pPr>
            <m:oMathPara>
              <m:oMath>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Remit</m:t>
                    </m:r>
                  </m:e>
                  <m:sub>
                    <m:r>
                      <m:rPr>
                        <m:sty m:val="p"/>
                      </m:rPr>
                      <w:rPr>
                        <w:rFonts w:ascii="Cambria Math" w:hAnsi="Cambria Math" w:cs="Times New Roman"/>
                        <w:color w:val="000000" w:themeColor="text1"/>
                        <w:sz w:val="20"/>
                        <w:szCs w:val="20"/>
                      </w:rPr>
                      <m:t>t</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α</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m:t>
                </m:r>
                <m:nary>
                  <m:naryPr>
                    <m:chr m:val="∑"/>
                    <m:limLoc m:val="undOvr"/>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i=1</m:t>
                    </m:r>
                  </m:sub>
                  <m:sup>
                    <m:r>
                      <w:rPr>
                        <w:rFonts w:ascii="Cambria Math" w:hAnsi="Cambria Math" w:cs="Times New Roman"/>
                        <w:color w:val="000000" w:themeColor="text1"/>
                        <w:sz w:val="20"/>
                        <w:szCs w:val="20"/>
                      </w:rPr>
                      <m:t>p</m:t>
                    </m:r>
                  </m:sup>
                  <m:e>
                    <m:d>
                      <m:dPr>
                        <m:ctrlPr>
                          <w:rPr>
                            <w:rFonts w:ascii="Cambria Math" w:hAnsi="Cambria Math" w:cs="Times New Roman"/>
                            <w:i/>
                            <w:color w:val="000000" w:themeColor="text1"/>
                            <w:sz w:val="20"/>
                            <w:szCs w:val="20"/>
                          </w:rPr>
                        </m:ctrlPr>
                      </m:dPr>
                      <m:e>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1i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2</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Remit</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2i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2</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GDP</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3i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2</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Unem</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4i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2</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Exch</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5i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2</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Inf</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6i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2</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Lending</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7i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2</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Interest</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8i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2</m:t>
                                </m:r>
                              </m:e>
                            </m:d>
                          </m:sup>
                        </m:sSubSup>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Poli</m:t>
                            </m:r>
                          </m:e>
                          <m:sub>
                            <m: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9i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2</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Corrup</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10i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2</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Govt_e</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β</m:t>
                            </m:r>
                          </m:e>
                          <m:sub>
                            <m:r>
                              <w:rPr>
                                <w:rFonts w:ascii="Cambria Math" w:hAnsi="Cambria Math" w:cs="Times New Roman"/>
                                <w:color w:val="000000" w:themeColor="text1"/>
                                <w:sz w:val="20"/>
                                <w:szCs w:val="20"/>
                              </w:rPr>
                              <m:t>11i</m:t>
                            </m:r>
                          </m:sub>
                          <m:sup>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2</m:t>
                                </m:r>
                              </m:e>
                            </m:d>
                          </m:sup>
                        </m:sSubSup>
                        <m:r>
                          <w:rPr>
                            <w:rFonts w:ascii="Cambria Math" w:hAnsi="Cambria Math" w:cs="Times New Roman"/>
                            <w:color w:val="000000" w:themeColor="text1"/>
                            <w:sz w:val="20"/>
                            <w:szCs w:val="20"/>
                          </w:rPr>
                          <m:t>.</m:t>
                        </m:r>
                        <m:sSub>
                          <m:sSubPr>
                            <m:ctrlPr>
                              <w:rPr>
                                <w:rFonts w:ascii="Cambria Math" w:hAnsi="Cambria Math" w:cs="Times New Roman"/>
                                <w:iCs/>
                                <w:color w:val="000000" w:themeColor="text1"/>
                                <w:sz w:val="20"/>
                                <w:szCs w:val="20"/>
                              </w:rPr>
                            </m:ctrlPr>
                          </m:sSubPr>
                          <m:e>
                            <m:r>
                              <m:rPr>
                                <m:sty m:val="p"/>
                              </m:rPr>
                              <w:rPr>
                                <w:rFonts w:ascii="Cambria Math" w:hAnsi="Cambria Math" w:cs="Times New Roman"/>
                                <w:color w:val="000000" w:themeColor="text1"/>
                                <w:sz w:val="20"/>
                                <w:szCs w:val="20"/>
                              </w:rPr>
                              <m:t>Over</m:t>
                            </m:r>
                          </m:e>
                          <m:sub>
                            <m:r>
                              <m:rPr>
                                <m:sty m:val="p"/>
                              </m:rP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ε</m:t>
                            </m:r>
                          </m:e>
                          <m:sub>
                            <m:r>
                              <w:rPr>
                                <w:rFonts w:ascii="Cambria Math" w:hAnsi="Cambria Math" w:cs="Times New Roman"/>
                                <w:color w:val="000000" w:themeColor="text1"/>
                                <w:sz w:val="20"/>
                                <w:szCs w:val="20"/>
                              </w:rPr>
                              <m:t>t,1</m:t>
                            </m:r>
                          </m:sub>
                          <m:sup>
                            <m:r>
                              <w:rPr>
                                <w:rFonts w:ascii="Cambria Math" w:hAnsi="Cambria Math" w:cs="Times New Roman"/>
                                <w:color w:val="000000" w:themeColor="text1"/>
                                <w:sz w:val="20"/>
                                <w:szCs w:val="20"/>
                              </w:rPr>
                              <m:t>(2)</m:t>
                            </m:r>
                          </m:sup>
                        </m:sSubSup>
                      </m:e>
                    </m:d>
                  </m:e>
                </m:nary>
                <m:r>
                  <w:rPr>
                    <w:rFonts w:ascii="Cambria Math" w:hAnsi="Cambria Math" w:cs="Times New Roman"/>
                    <w:color w:val="000000" w:themeColor="text1"/>
                    <w:sz w:val="20"/>
                    <w:szCs w:val="20"/>
                  </w:rPr>
                  <m:t>.</m:t>
                </m:r>
              </m:oMath>
            </m:oMathPara>
          </w:p>
        </w:tc>
        <w:tc>
          <w:tcPr>
            <w:tcW w:w="381" w:type="dxa"/>
            <w:vAlign w:val="center"/>
          </w:tcPr>
          <w:p w14:paraId="2E7B2570" w14:textId="77777777" w:rsidR="00191ABF" w:rsidRPr="0050243A" w:rsidRDefault="00191ABF" w:rsidP="008546EF">
            <w:pPr>
              <w:ind w:right="78"/>
              <w:jc w:val="center"/>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(4)</w:t>
            </w:r>
          </w:p>
        </w:tc>
      </w:tr>
    </w:tbl>
    <w:p w14:paraId="484A299E" w14:textId="77777777" w:rsidR="00E26A69" w:rsidRDefault="00E26A69" w:rsidP="008546EF">
      <w:pPr>
        <w:ind w:right="78"/>
        <w:jc w:val="both"/>
        <w:rPr>
          <w:rStyle w:val="mord"/>
          <w:color w:val="000000" w:themeColor="text1"/>
          <w:sz w:val="20"/>
          <w:szCs w:val="20"/>
        </w:rPr>
      </w:pPr>
    </w:p>
    <w:p w14:paraId="5EDAF4BF" w14:textId="0A8C6D4F" w:rsidR="00191ABF" w:rsidRPr="0050243A" w:rsidRDefault="00191ABF" w:rsidP="008546EF">
      <w:pPr>
        <w:ind w:right="78"/>
        <w:jc w:val="both"/>
        <w:rPr>
          <w:color w:val="000000" w:themeColor="text1"/>
          <w:sz w:val="20"/>
          <w:szCs w:val="20"/>
        </w:rPr>
      </w:pPr>
      <w:r w:rsidRPr="0050243A">
        <w:rPr>
          <w:rStyle w:val="mord"/>
          <w:color w:val="000000" w:themeColor="text1"/>
          <w:sz w:val="20"/>
          <w:szCs w:val="20"/>
        </w:rPr>
        <w:t xml:space="preserve">Here, </w:t>
      </w:r>
      <m:oMath>
        <m:r>
          <w:rPr>
            <w:rStyle w:val="mord"/>
            <w:rFonts w:ascii="Cambria Math" w:hAnsi="Cambria Math"/>
            <w:color w:val="000000" w:themeColor="text1"/>
            <w:sz w:val="20"/>
            <w:szCs w:val="20"/>
          </w:rPr>
          <m:t>p</m:t>
        </m:r>
      </m:oMath>
      <w:r w:rsidRPr="0050243A">
        <w:rPr>
          <w:color w:val="000000" w:themeColor="text1"/>
          <w:sz w:val="20"/>
          <w:szCs w:val="20"/>
        </w:rPr>
        <w:t xml:space="preserve"> represents the lag order of the model, </w:t>
      </w: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α</m:t>
            </m:r>
          </m:e>
          <m:sub>
            <m:r>
              <w:rPr>
                <w:rFonts w:ascii="Cambria Math" w:hAnsi="Cambria Math"/>
                <w:color w:val="000000" w:themeColor="text1"/>
                <w:sz w:val="20"/>
                <w:szCs w:val="20"/>
              </w:rPr>
              <m:t>r</m:t>
            </m:r>
          </m:sub>
        </m:sSub>
      </m:oMath>
      <w:r w:rsidRPr="0050243A">
        <w:rPr>
          <w:color w:val="000000" w:themeColor="text1"/>
          <w:sz w:val="20"/>
          <w:szCs w:val="20"/>
        </w:rPr>
        <w:t xml:space="preserve"> denotes the intercept in regime </w:t>
      </w:r>
      <m:oMath>
        <m:r>
          <w:rPr>
            <w:rStyle w:val="katex-mathml"/>
            <w:rFonts w:ascii="Cambria Math" w:hAnsi="Cambria Math"/>
            <w:color w:val="000000" w:themeColor="text1"/>
            <w:sz w:val="20"/>
            <w:szCs w:val="20"/>
          </w:rPr>
          <m:t>r</m:t>
        </m:r>
      </m:oMath>
      <w:r w:rsidRPr="0050243A">
        <w:rPr>
          <w:color w:val="000000" w:themeColor="text1"/>
          <w:sz w:val="20"/>
          <w:szCs w:val="20"/>
        </w:rPr>
        <w:t xml:space="preserve">, </w:t>
      </w:r>
      <w:r w:rsidRPr="0050243A">
        <w:rPr>
          <w:rStyle w:val="vlist-s"/>
          <w:color w:val="000000" w:themeColor="text1"/>
          <w:sz w:val="20"/>
          <w:szCs w:val="20"/>
        </w:rPr>
        <w:t>​</w:t>
      </w:r>
      <m:oMath>
        <m:sSubSup>
          <m:sSubSupPr>
            <m:ctrlPr>
              <w:rPr>
                <w:rFonts w:ascii="Cambria Math" w:hAnsi="Cambria Math"/>
                <w:i/>
                <w:color w:val="000000" w:themeColor="text1"/>
                <w:sz w:val="20"/>
                <w:szCs w:val="20"/>
              </w:rPr>
            </m:ctrlPr>
          </m:sSubSupPr>
          <m:e>
            <m:r>
              <w:rPr>
                <w:rFonts w:ascii="Cambria Math" w:hAnsi="Cambria Math"/>
                <w:color w:val="000000" w:themeColor="text1"/>
                <w:sz w:val="20"/>
                <w:szCs w:val="20"/>
              </w:rPr>
              <m:t>β</m:t>
            </m:r>
          </m:e>
          <m:sub>
            <m:r>
              <w:rPr>
                <w:rFonts w:ascii="Cambria Math" w:hAnsi="Cambria Math"/>
                <w:color w:val="000000" w:themeColor="text1"/>
                <w:sz w:val="20"/>
                <w:szCs w:val="20"/>
              </w:rPr>
              <m:t>ji</m:t>
            </m:r>
          </m:sub>
          <m:sup>
            <m:d>
              <m:dPr>
                <m:ctrlPr>
                  <w:rPr>
                    <w:rFonts w:ascii="Cambria Math" w:hAnsi="Cambria Math"/>
                    <w:i/>
                    <w:color w:val="000000" w:themeColor="text1"/>
                    <w:sz w:val="20"/>
                    <w:szCs w:val="20"/>
                  </w:rPr>
                </m:ctrlPr>
              </m:dPr>
              <m:e>
                <m:r>
                  <w:rPr>
                    <w:rFonts w:ascii="Cambria Math" w:hAnsi="Cambria Math"/>
                    <w:color w:val="000000" w:themeColor="text1"/>
                    <w:sz w:val="20"/>
                    <w:szCs w:val="20"/>
                  </w:rPr>
                  <m:t>r</m:t>
                </m:r>
              </m:e>
            </m:d>
          </m:sup>
        </m:sSubSup>
      </m:oMath>
      <w:r w:rsidRPr="0050243A">
        <w:rPr>
          <w:color w:val="000000" w:themeColor="text1"/>
          <w:sz w:val="20"/>
          <w:szCs w:val="20"/>
        </w:rPr>
        <w:t xml:space="preserve"> are the coefficients for the </w:t>
      </w:r>
      <m:oMath>
        <m:r>
          <w:rPr>
            <w:rStyle w:val="katex-mathml"/>
            <w:rFonts w:ascii="Cambria Math" w:hAnsi="Cambria Math"/>
            <w:color w:val="000000" w:themeColor="text1"/>
            <w:sz w:val="20"/>
            <w:szCs w:val="20"/>
          </w:rPr>
          <m:t>i</m:t>
        </m:r>
        <m:r>
          <w:rPr>
            <w:rFonts w:ascii="Cambria Math" w:hAnsi="Cambria Math"/>
            <w:color w:val="000000" w:themeColor="text1"/>
            <w:sz w:val="20"/>
            <w:szCs w:val="20"/>
          </w:rPr>
          <m:t>-th</m:t>
        </m:r>
      </m:oMath>
      <w:r w:rsidRPr="0050243A">
        <w:rPr>
          <w:color w:val="000000" w:themeColor="text1"/>
          <w:sz w:val="20"/>
          <w:szCs w:val="20"/>
        </w:rPr>
        <w:t xml:space="preserve"> lag of the </w:t>
      </w:r>
      <m:oMath>
        <m:r>
          <w:rPr>
            <w:rStyle w:val="katex-mathml"/>
            <w:rFonts w:ascii="Cambria Math" w:hAnsi="Cambria Math"/>
            <w:color w:val="000000" w:themeColor="text1"/>
            <w:sz w:val="20"/>
            <w:szCs w:val="20"/>
          </w:rPr>
          <m:t>j</m:t>
        </m:r>
        <m:r>
          <w:rPr>
            <w:rFonts w:ascii="Cambria Math" w:hAnsi="Cambria Math"/>
            <w:color w:val="000000" w:themeColor="text1"/>
            <w:sz w:val="20"/>
            <w:szCs w:val="20"/>
          </w:rPr>
          <m:t>-th</m:t>
        </m:r>
      </m:oMath>
      <w:r w:rsidRPr="0050243A">
        <w:rPr>
          <w:color w:val="000000" w:themeColor="text1"/>
          <w:sz w:val="20"/>
          <w:szCs w:val="20"/>
        </w:rPr>
        <w:t xml:space="preserve"> explanatory variable in regime </w:t>
      </w:r>
      <m:oMath>
        <m:r>
          <w:rPr>
            <w:rStyle w:val="katex-mathml"/>
            <w:rFonts w:ascii="Cambria Math" w:hAnsi="Cambria Math"/>
            <w:color w:val="000000" w:themeColor="text1"/>
            <w:sz w:val="20"/>
            <w:szCs w:val="20"/>
          </w:rPr>
          <m:t>r</m:t>
        </m:r>
      </m:oMath>
      <w:r w:rsidRPr="0050243A">
        <w:rPr>
          <w:color w:val="000000" w:themeColor="text1"/>
          <w:sz w:val="20"/>
          <w:szCs w:val="20"/>
        </w:rPr>
        <w:t xml:space="preserve">, and </w:t>
      </w:r>
      <m:oMath>
        <m:sSubSup>
          <m:sSubSupPr>
            <m:ctrlPr>
              <w:rPr>
                <w:rFonts w:ascii="Cambria Math" w:hAnsi="Cambria Math"/>
                <w:i/>
                <w:color w:val="000000" w:themeColor="text1"/>
                <w:sz w:val="20"/>
                <w:szCs w:val="20"/>
              </w:rPr>
            </m:ctrlPr>
          </m:sSubSupPr>
          <m:e>
            <m:r>
              <w:rPr>
                <w:rFonts w:ascii="Cambria Math" w:hAnsi="Cambria Math"/>
                <w:color w:val="000000" w:themeColor="text1"/>
                <w:sz w:val="20"/>
                <w:szCs w:val="20"/>
              </w:rPr>
              <m:t>ε</m:t>
            </m:r>
          </m:e>
          <m:sub>
            <m:r>
              <w:rPr>
                <w:rFonts w:ascii="Cambria Math" w:hAnsi="Cambria Math"/>
                <w:color w:val="000000" w:themeColor="text1"/>
                <w:sz w:val="20"/>
                <w:szCs w:val="20"/>
              </w:rPr>
              <m:t>t</m:t>
            </m:r>
          </m:sub>
          <m:sup>
            <m:r>
              <w:rPr>
                <w:rFonts w:ascii="Cambria Math" w:hAnsi="Cambria Math"/>
                <w:color w:val="000000" w:themeColor="text1"/>
                <w:sz w:val="20"/>
                <w:szCs w:val="20"/>
              </w:rPr>
              <m:t>(r)</m:t>
            </m:r>
          </m:sup>
        </m:sSubSup>
      </m:oMath>
      <w:r w:rsidRPr="0050243A">
        <w:rPr>
          <w:rStyle w:val="vlist-s"/>
          <w:color w:val="000000" w:themeColor="text1"/>
          <w:sz w:val="20"/>
          <w:szCs w:val="20"/>
        </w:rPr>
        <w:t>​</w:t>
      </w:r>
      <w:r w:rsidRPr="0050243A">
        <w:rPr>
          <w:color w:val="000000" w:themeColor="text1"/>
          <w:sz w:val="20"/>
          <w:szCs w:val="20"/>
        </w:rPr>
        <w:t xml:space="preserve"> is the error term assumed to be white noise in each regime.</w:t>
      </w:r>
    </w:p>
    <w:p w14:paraId="10EC3DBF" w14:textId="77777777" w:rsidR="00191ABF" w:rsidRPr="0050243A" w:rsidRDefault="00191ABF" w:rsidP="008546EF">
      <w:pPr>
        <w:ind w:right="78"/>
        <w:jc w:val="both"/>
        <w:rPr>
          <w:color w:val="000000" w:themeColor="text1"/>
          <w:sz w:val="20"/>
          <w:szCs w:val="20"/>
        </w:rPr>
      </w:pPr>
    </w:p>
    <w:p w14:paraId="5209939D" w14:textId="77777777" w:rsidR="00191ABF" w:rsidRDefault="00191ABF" w:rsidP="008546EF">
      <w:pPr>
        <w:ind w:right="78"/>
        <w:jc w:val="both"/>
        <w:rPr>
          <w:b/>
          <w:bCs/>
          <w:i/>
          <w:iCs/>
          <w:color w:val="000000" w:themeColor="text1"/>
          <w:sz w:val="20"/>
          <w:szCs w:val="20"/>
        </w:rPr>
      </w:pPr>
      <w:r w:rsidRPr="00E26A69">
        <w:rPr>
          <w:b/>
          <w:bCs/>
          <w:i/>
          <w:iCs/>
          <w:color w:val="000000" w:themeColor="text1"/>
          <w:sz w:val="20"/>
          <w:szCs w:val="20"/>
        </w:rPr>
        <w:t>2.4 Tests of Stationarity</w:t>
      </w:r>
    </w:p>
    <w:p w14:paraId="5C74BD13" w14:textId="77777777" w:rsidR="00E26A69" w:rsidRPr="00E26A69" w:rsidRDefault="00E26A69" w:rsidP="008546EF">
      <w:pPr>
        <w:ind w:right="78"/>
        <w:jc w:val="both"/>
        <w:rPr>
          <w:b/>
          <w:bCs/>
          <w:i/>
          <w:iCs/>
          <w:color w:val="000000" w:themeColor="text1"/>
          <w:sz w:val="20"/>
          <w:szCs w:val="20"/>
        </w:rPr>
      </w:pPr>
    </w:p>
    <w:p w14:paraId="5470D5F6" w14:textId="77777777" w:rsidR="00191ABF" w:rsidRDefault="00191ABF" w:rsidP="008546EF">
      <w:pPr>
        <w:ind w:right="78"/>
        <w:jc w:val="both"/>
        <w:rPr>
          <w:b/>
          <w:bCs/>
          <w:color w:val="000000" w:themeColor="text1"/>
          <w:sz w:val="20"/>
          <w:szCs w:val="20"/>
        </w:rPr>
      </w:pPr>
      <w:r w:rsidRPr="0050243A">
        <w:rPr>
          <w:b/>
          <w:bCs/>
          <w:color w:val="000000" w:themeColor="text1"/>
          <w:sz w:val="20"/>
          <w:szCs w:val="20"/>
        </w:rPr>
        <w:t>Augmented Dickey-Fuller (ADF) Test</w:t>
      </w:r>
    </w:p>
    <w:p w14:paraId="1190D622" w14:textId="77777777" w:rsidR="00E26A69" w:rsidRPr="0050243A" w:rsidRDefault="00E26A69" w:rsidP="008546EF">
      <w:pPr>
        <w:ind w:right="78"/>
        <w:jc w:val="both"/>
        <w:rPr>
          <w:b/>
          <w:bCs/>
          <w:color w:val="000000" w:themeColor="text1"/>
          <w:sz w:val="20"/>
          <w:szCs w:val="20"/>
        </w:rPr>
      </w:pPr>
    </w:p>
    <w:p w14:paraId="07CD15BD" w14:textId="77777777" w:rsidR="00191ABF" w:rsidRDefault="00191ABF" w:rsidP="008546EF">
      <w:pPr>
        <w:spacing w:line="324" w:lineRule="auto"/>
        <w:ind w:right="78"/>
        <w:jc w:val="both"/>
        <w:rPr>
          <w:color w:val="000000" w:themeColor="text1"/>
          <w:sz w:val="20"/>
          <w:szCs w:val="20"/>
        </w:rPr>
      </w:pPr>
      <w:r w:rsidRPr="0050243A">
        <w:rPr>
          <w:color w:val="000000" w:themeColor="text1"/>
          <w:sz w:val="20"/>
          <w:szCs w:val="20"/>
        </w:rPr>
        <w:t>The Augmented Dickey-Fuller (ADF) test is used to determine whether a time series contains a unit root, indicating non-stationarity. The basic DF test assumes the series follows an AR (1) process with white noise errors. However, this assumption is often violated when the residuals exhibit serial correlation at higher lags. To account for this, the ADF test generalizes the DF approach by allowing the series to follow an AR (p) process. It does so by including lagged differences of the dependent variable to control for higher-order autocorrelation</w:t>
      </w:r>
      <w:sdt>
        <w:sdtPr>
          <w:rPr>
            <w:color w:val="000000"/>
            <w:sz w:val="20"/>
            <w:szCs w:val="20"/>
          </w:rPr>
          <w:tag w:val="MENDELEY_CITATION_v3_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"/>
          <w:id w:val="-1249727460"/>
          <w:placeholder>
            <w:docPart w:val="31E3ED1B8C5D4E5F964ED93C36DBD2A2"/>
          </w:placeholder>
        </w:sdtPr>
        <w:sdtContent>
          <w:r w:rsidRPr="0050243A">
            <w:rPr>
              <w:color w:val="000000"/>
              <w:sz w:val="20"/>
              <w:szCs w:val="20"/>
            </w:rPr>
            <w:t>(</w:t>
          </w:r>
          <w:proofErr w:type="spellStart"/>
          <w:r w:rsidRPr="0050243A">
            <w:rPr>
              <w:color w:val="000000"/>
              <w:sz w:val="20"/>
              <w:szCs w:val="20"/>
            </w:rPr>
            <w:t>Grynkiv</w:t>
          </w:r>
          <w:proofErr w:type="spellEnd"/>
          <w:r w:rsidRPr="0050243A">
            <w:rPr>
              <w:color w:val="000000"/>
              <w:sz w:val="20"/>
              <w:szCs w:val="20"/>
            </w:rPr>
            <w:t xml:space="preserve"> &amp; Stentoft, 2018)</w:t>
          </w:r>
        </w:sdtContent>
      </w:sdt>
      <w:r w:rsidRPr="0050243A">
        <w:rPr>
          <w:color w:val="000000" w:themeColor="text1"/>
          <w:sz w:val="20"/>
          <w:szCs w:val="20"/>
        </w:rPr>
        <w:t>. The ADF regression is given by:</w:t>
      </w:r>
    </w:p>
    <w:p w14:paraId="0BEA2C27" w14:textId="77777777" w:rsidR="008546EF" w:rsidRPr="008546EF" w:rsidRDefault="008546EF" w:rsidP="008546EF">
      <w:pPr>
        <w:spacing w:line="324" w:lineRule="auto"/>
        <w:ind w:right="78"/>
        <w:jc w:val="both"/>
        <w:rPr>
          <w:color w:val="000000" w:themeColor="text1"/>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
        <w:gridCol w:w="7012"/>
        <w:gridCol w:w="528"/>
      </w:tblGrid>
      <w:tr w:rsidR="00191ABF" w:rsidRPr="0050243A" w14:paraId="41E6A1CA" w14:textId="77777777" w:rsidTr="008546EF">
        <w:trPr>
          <w:trHeight w:val="20"/>
        </w:trPr>
        <w:tc>
          <w:tcPr>
            <w:tcW w:w="409" w:type="dxa"/>
            <w:vAlign w:val="center"/>
          </w:tcPr>
          <w:p w14:paraId="61C79F31" w14:textId="77777777" w:rsidR="00191ABF" w:rsidRPr="0050243A" w:rsidRDefault="00191ABF" w:rsidP="008546EF">
            <w:pPr>
              <w:ind w:right="78"/>
              <w:jc w:val="center"/>
              <w:rPr>
                <w:rFonts w:ascii="Times New Roman" w:hAnsi="Times New Roman" w:cs="Times New Roman"/>
                <w:color w:val="000000" w:themeColor="text1"/>
                <w:sz w:val="20"/>
                <w:szCs w:val="20"/>
              </w:rPr>
            </w:pPr>
          </w:p>
        </w:tc>
        <w:tc>
          <w:tcPr>
            <w:tcW w:w="7012" w:type="dxa"/>
            <w:vAlign w:val="center"/>
          </w:tcPr>
          <w:p w14:paraId="42330918" w14:textId="77777777" w:rsidR="00191ABF" w:rsidRPr="0050243A" w:rsidRDefault="00191ABF" w:rsidP="008546EF">
            <w:pPr>
              <w:ind w:right="78"/>
              <w:jc w:val="center"/>
              <w:rPr>
                <w:rFonts w:ascii="Times New Roman" w:hAnsi="Times New Roman" w:cs="Times New Roman"/>
                <w:color w:val="000000" w:themeColor="text1"/>
                <w:sz w:val="20"/>
                <w:szCs w:val="20"/>
              </w:rPr>
            </w:pPr>
            <m:oMathPara>
              <m:oMath>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t</m:t>
                    </m:r>
                  </m:sub>
                </m:sSub>
                <m:r>
                  <w:rPr>
                    <w:rFonts w:ascii="Cambria Math" w:hAnsi="Cambria Math" w:cs="Times New Roman"/>
                    <w:color w:val="000000" w:themeColor="text1"/>
                    <w:sz w:val="20"/>
                    <w:szCs w:val="20"/>
                  </w:rPr>
                  <m:t>=α+βt+γ</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t-1</m:t>
                    </m:r>
                  </m:sub>
                </m:sSub>
                <m:r>
                  <w:rPr>
                    <w:rFonts w:ascii="Cambria Math" w:hAnsi="Cambria Math" w:cs="Times New Roman"/>
                    <w:color w:val="000000" w:themeColor="text1"/>
                    <w:sz w:val="20"/>
                    <w:szCs w:val="20"/>
                  </w:rPr>
                  <m:t>+</m:t>
                </m:r>
                <m:nary>
                  <m:naryPr>
                    <m:chr m:val="∑"/>
                    <m:limLoc m:val="undOvr"/>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i=1</m:t>
                    </m:r>
                  </m:sub>
                  <m:sup>
                    <m:r>
                      <w:rPr>
                        <w:rFonts w:ascii="Cambria Math" w:hAnsi="Cambria Math" w:cs="Times New Roman"/>
                        <w:color w:val="000000" w:themeColor="text1"/>
                        <w:sz w:val="20"/>
                        <w:szCs w:val="20"/>
                      </w:rPr>
                      <m:t>p</m:t>
                    </m:r>
                  </m:sup>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δ</m:t>
                        </m:r>
                      </m:e>
                      <m:sub>
                        <m:r>
                          <w:rPr>
                            <w:rFonts w:ascii="Cambria Math" w:hAnsi="Cambria Math" w:cs="Times New Roman"/>
                            <w:color w:val="000000" w:themeColor="text1"/>
                            <w:sz w:val="20"/>
                            <w:szCs w:val="20"/>
                          </w:rPr>
                          <m:t>i</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t-i</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ε</m:t>
                        </m:r>
                      </m:e>
                      <m:sub>
                        <m:r>
                          <w:rPr>
                            <w:rFonts w:ascii="Cambria Math" w:hAnsi="Cambria Math" w:cs="Times New Roman"/>
                            <w:color w:val="000000" w:themeColor="text1"/>
                            <w:sz w:val="20"/>
                            <w:szCs w:val="20"/>
                          </w:rPr>
                          <m:t>t.</m:t>
                        </m:r>
                      </m:sub>
                    </m:sSub>
                  </m:e>
                </m:nary>
              </m:oMath>
            </m:oMathPara>
          </w:p>
        </w:tc>
        <w:tc>
          <w:tcPr>
            <w:tcW w:w="528" w:type="dxa"/>
            <w:vAlign w:val="center"/>
          </w:tcPr>
          <w:p w14:paraId="3AF0C5F2" w14:textId="77777777" w:rsidR="00191ABF" w:rsidRPr="0050243A" w:rsidRDefault="00191ABF" w:rsidP="008546EF">
            <w:pPr>
              <w:ind w:right="78"/>
              <w:jc w:val="center"/>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(5)</w:t>
            </w:r>
          </w:p>
        </w:tc>
      </w:tr>
    </w:tbl>
    <w:p w14:paraId="0990B184" w14:textId="77777777" w:rsidR="00E26A69" w:rsidRDefault="00E26A69" w:rsidP="008546EF">
      <w:pPr>
        <w:ind w:right="78"/>
        <w:jc w:val="both"/>
        <w:rPr>
          <w:color w:val="000000" w:themeColor="text1"/>
          <w:sz w:val="20"/>
          <w:szCs w:val="20"/>
        </w:rPr>
      </w:pPr>
    </w:p>
    <w:p w14:paraId="47D9AA29" w14:textId="2C530FC5" w:rsidR="00191ABF" w:rsidRDefault="00191ABF" w:rsidP="008546EF">
      <w:pPr>
        <w:ind w:right="78"/>
        <w:jc w:val="both"/>
        <w:rPr>
          <w:color w:val="000000" w:themeColor="text1"/>
          <w:sz w:val="20"/>
          <w:szCs w:val="20"/>
        </w:rPr>
      </w:pPr>
      <w:r w:rsidRPr="0050243A">
        <w:rPr>
          <w:color w:val="000000" w:themeColor="text1"/>
          <w:sz w:val="20"/>
          <w:szCs w:val="20"/>
        </w:rPr>
        <w:t xml:space="preserve">Here, </w:t>
      </w:r>
      <m:oMath>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Y</m:t>
            </m:r>
          </m:e>
          <m:sub>
            <m:r>
              <w:rPr>
                <w:rFonts w:ascii="Cambria Math" w:hAnsi="Cambria Math"/>
                <w:color w:val="000000" w:themeColor="text1"/>
                <w:sz w:val="20"/>
                <w:szCs w:val="20"/>
              </w:rPr>
              <m:t>t</m:t>
            </m:r>
          </m:sub>
        </m:sSub>
      </m:oMath>
      <w:r w:rsidRPr="0050243A">
        <w:rPr>
          <w:color w:val="000000" w:themeColor="text1"/>
          <w:sz w:val="20"/>
          <w:szCs w:val="20"/>
        </w:rPr>
        <w:t xml:space="preserve"> is the first difference of the series, </w:t>
      </w:r>
      <m:oMath>
        <m:r>
          <w:rPr>
            <w:rFonts w:ascii="Cambria Math" w:hAnsi="Cambria Math"/>
            <w:color w:val="000000" w:themeColor="text1"/>
            <w:sz w:val="20"/>
            <w:szCs w:val="20"/>
          </w:rPr>
          <m:t>α</m:t>
        </m:r>
      </m:oMath>
      <w:r w:rsidRPr="0050243A">
        <w:rPr>
          <w:color w:val="000000" w:themeColor="text1"/>
          <w:sz w:val="20"/>
          <w:szCs w:val="20"/>
        </w:rPr>
        <w:t xml:space="preserve"> is a constant, </w:t>
      </w:r>
      <m:oMath>
        <m:r>
          <w:rPr>
            <w:rFonts w:ascii="Cambria Math" w:hAnsi="Cambria Math"/>
            <w:color w:val="000000" w:themeColor="text1"/>
            <w:sz w:val="20"/>
            <w:szCs w:val="20"/>
          </w:rPr>
          <m:t>βt</m:t>
        </m:r>
      </m:oMath>
      <w:r w:rsidRPr="0050243A">
        <w:rPr>
          <w:color w:val="000000" w:themeColor="text1"/>
          <w:sz w:val="20"/>
          <w:szCs w:val="20"/>
        </w:rPr>
        <w:t xml:space="preserve"> is an optional trend, </w:t>
      </w:r>
      <m:oMath>
        <m:r>
          <w:rPr>
            <w:rFonts w:ascii="Cambria Math" w:hAnsi="Cambria Math"/>
            <w:color w:val="000000" w:themeColor="text1"/>
            <w:sz w:val="20"/>
            <w:szCs w:val="20"/>
          </w:rPr>
          <m:t>γ</m:t>
        </m:r>
      </m:oMath>
    </w:p>
    <w:p w14:paraId="2CB8F288" w14:textId="77777777" w:rsidR="00E26A69" w:rsidRPr="0050243A" w:rsidRDefault="00E26A69" w:rsidP="008546EF">
      <w:pPr>
        <w:ind w:right="78"/>
        <w:jc w:val="both"/>
        <w:rPr>
          <w:color w:val="000000" w:themeColor="text1"/>
          <w:sz w:val="20"/>
          <w:szCs w:val="20"/>
        </w:rPr>
      </w:pPr>
    </w:p>
    <w:p w14:paraId="0461B054" w14:textId="77777777" w:rsidR="00191ABF" w:rsidRDefault="00191ABF" w:rsidP="008546EF">
      <w:pPr>
        <w:spacing w:line="324" w:lineRule="auto"/>
        <w:ind w:right="78"/>
        <w:jc w:val="both"/>
        <w:rPr>
          <w:color w:val="000000" w:themeColor="text1"/>
          <w:sz w:val="20"/>
          <w:szCs w:val="20"/>
        </w:rPr>
      </w:pPr>
      <w:r w:rsidRPr="0050243A">
        <w:rPr>
          <w:color w:val="000000" w:themeColor="text1"/>
          <w:sz w:val="20"/>
          <w:szCs w:val="20"/>
        </w:rPr>
        <w:lastRenderedPageBreak/>
        <w:t xml:space="preserve">Tests for a unit root, and </w:t>
      </w: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ε</m:t>
            </m:r>
          </m:e>
          <m:sub>
            <m:r>
              <w:rPr>
                <w:rFonts w:ascii="Cambria Math" w:hAnsi="Cambria Math"/>
                <w:color w:val="000000" w:themeColor="text1"/>
                <w:sz w:val="20"/>
                <w:szCs w:val="20"/>
              </w:rPr>
              <m:t>t</m:t>
            </m:r>
          </m:sub>
        </m:sSub>
      </m:oMath>
      <w:r w:rsidRPr="0050243A">
        <w:rPr>
          <w:color w:val="000000" w:themeColor="text1"/>
          <w:sz w:val="20"/>
          <w:szCs w:val="20"/>
        </w:rPr>
        <w:t xml:space="preserve"> is a white noise error. The null hypothesis </w:t>
      </w: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H</m:t>
            </m:r>
          </m:e>
          <m:sub>
            <m:r>
              <w:rPr>
                <w:rFonts w:ascii="Cambria Math" w:hAnsi="Cambria Math"/>
                <w:color w:val="000000" w:themeColor="text1"/>
                <w:sz w:val="20"/>
                <w:szCs w:val="20"/>
              </w:rPr>
              <m:t>0</m:t>
            </m:r>
          </m:sub>
        </m:sSub>
        <m:r>
          <w:rPr>
            <w:rFonts w:ascii="Cambria Math" w:hAnsi="Cambria Math"/>
            <w:color w:val="000000" w:themeColor="text1"/>
            <w:sz w:val="20"/>
            <w:szCs w:val="20"/>
          </w:rPr>
          <m:t>:γ=0</m:t>
        </m:r>
      </m:oMath>
      <w:r w:rsidRPr="0050243A">
        <w:rPr>
          <w:color w:val="000000" w:themeColor="text1"/>
          <w:sz w:val="20"/>
          <w:szCs w:val="20"/>
        </w:rPr>
        <w:t xml:space="preserve"> indicates a unit root (non-stationarity), while the alternative </w:t>
      </w: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H</m:t>
            </m:r>
          </m:e>
          <m:sub>
            <m:r>
              <w:rPr>
                <w:rFonts w:ascii="Cambria Math" w:hAnsi="Cambria Math"/>
                <w:color w:val="000000" w:themeColor="text1"/>
                <w:sz w:val="20"/>
                <w:szCs w:val="20"/>
              </w:rPr>
              <m:t>0</m:t>
            </m:r>
          </m:sub>
        </m:sSub>
        <m:r>
          <w:rPr>
            <w:rFonts w:ascii="Cambria Math" w:hAnsi="Cambria Math"/>
            <w:color w:val="000000" w:themeColor="text1"/>
            <w:sz w:val="20"/>
            <w:szCs w:val="20"/>
          </w:rPr>
          <m:t>:γ&lt;0</m:t>
        </m:r>
      </m:oMath>
      <w:r w:rsidRPr="0050243A">
        <w:rPr>
          <w:color w:val="000000" w:themeColor="text1"/>
          <w:sz w:val="20"/>
          <w:szCs w:val="20"/>
        </w:rPr>
        <w:t xml:space="preserve"> suggests stationarity.</w:t>
      </w:r>
    </w:p>
    <w:p w14:paraId="4FDE3D9A" w14:textId="77777777" w:rsidR="007F1DBF" w:rsidRDefault="007F1DBF" w:rsidP="008546EF">
      <w:pPr>
        <w:ind w:right="78"/>
        <w:jc w:val="both"/>
        <w:rPr>
          <w:b/>
          <w:bCs/>
          <w:color w:val="000000" w:themeColor="text1"/>
          <w:sz w:val="20"/>
          <w:szCs w:val="20"/>
        </w:rPr>
      </w:pPr>
    </w:p>
    <w:p w14:paraId="32B63A4B" w14:textId="55E867AD" w:rsidR="00191ABF" w:rsidRDefault="00191ABF" w:rsidP="008546EF">
      <w:pPr>
        <w:ind w:right="78"/>
        <w:jc w:val="both"/>
        <w:rPr>
          <w:b/>
          <w:bCs/>
          <w:color w:val="000000" w:themeColor="text1"/>
          <w:sz w:val="20"/>
          <w:szCs w:val="20"/>
        </w:rPr>
      </w:pPr>
      <w:r w:rsidRPr="0050243A">
        <w:rPr>
          <w:b/>
          <w:bCs/>
          <w:color w:val="000000" w:themeColor="text1"/>
          <w:sz w:val="20"/>
          <w:szCs w:val="20"/>
        </w:rPr>
        <w:t>Phillips-Perron (PP) Test</w:t>
      </w:r>
    </w:p>
    <w:p w14:paraId="083C40E1" w14:textId="77777777" w:rsidR="00E26A69" w:rsidRPr="0050243A" w:rsidRDefault="00E26A69" w:rsidP="008546EF">
      <w:pPr>
        <w:ind w:right="78"/>
        <w:jc w:val="both"/>
        <w:rPr>
          <w:b/>
          <w:bCs/>
          <w:color w:val="000000" w:themeColor="text1"/>
          <w:sz w:val="20"/>
          <w:szCs w:val="20"/>
        </w:rPr>
      </w:pPr>
    </w:p>
    <w:p w14:paraId="13E7166E" w14:textId="77777777" w:rsidR="00191ABF" w:rsidRDefault="00191ABF" w:rsidP="008546EF">
      <w:pPr>
        <w:spacing w:line="324" w:lineRule="auto"/>
        <w:ind w:right="78"/>
        <w:jc w:val="both"/>
        <w:rPr>
          <w:color w:val="000000" w:themeColor="text1"/>
          <w:sz w:val="20"/>
          <w:szCs w:val="20"/>
        </w:rPr>
      </w:pPr>
      <w:r w:rsidRPr="0050243A">
        <w:rPr>
          <w:color w:val="000000" w:themeColor="text1"/>
          <w:sz w:val="20"/>
          <w:szCs w:val="20"/>
        </w:rPr>
        <w:t xml:space="preserve">The Phillips-Perron (PP) test is a non-parametric unit root test used to assess the stationarity of a time series. Like the ADF test, it tests the null hypothesis that a time series is non-stationary, specifically integrated of order at I (1). It uses the same basic regression equation </w:t>
      </w:r>
      <w:sdt>
        <w:sdtPr>
          <w:rPr>
            <w:color w:val="000000"/>
            <w:sz w:val="20"/>
            <w:szCs w:val="20"/>
          </w:rPr>
          <w:tag w:val="MENDELEY_CITATION_v3_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"/>
          <w:id w:val="-606282012"/>
          <w:placeholder>
            <w:docPart w:val="31E3ED1B8C5D4E5F964ED93C36DBD2A2"/>
          </w:placeholder>
        </w:sdtPr>
        <w:sdtContent>
          <w:r w:rsidRPr="0050243A">
            <w:rPr>
              <w:color w:val="000000"/>
              <w:sz w:val="20"/>
              <w:szCs w:val="20"/>
            </w:rPr>
            <w:t>(Vogelsang &amp; Wagner, 2013)</w:t>
          </w:r>
        </w:sdtContent>
      </w:sdt>
      <w:r w:rsidRPr="0050243A">
        <w:rPr>
          <w:color w:val="000000" w:themeColor="text1"/>
          <w:sz w:val="20"/>
          <w:szCs w:val="20"/>
        </w:rPr>
        <w:t xml:space="preserve">: </w:t>
      </w:r>
    </w:p>
    <w:p w14:paraId="59EC982E" w14:textId="77777777" w:rsidR="00E26A69" w:rsidRPr="0050243A" w:rsidRDefault="00E26A69" w:rsidP="008546EF">
      <w:pPr>
        <w:spacing w:line="324" w:lineRule="auto"/>
        <w:ind w:right="78"/>
        <w:jc w:val="both"/>
        <w:rPr>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
        <w:gridCol w:w="6980"/>
        <w:gridCol w:w="556"/>
      </w:tblGrid>
      <w:tr w:rsidR="00191ABF" w:rsidRPr="0050243A" w14:paraId="2CE338DB" w14:textId="77777777" w:rsidTr="002B4E8F">
        <w:trPr>
          <w:trHeight w:val="20"/>
        </w:trPr>
        <w:tc>
          <w:tcPr>
            <w:tcW w:w="445" w:type="dxa"/>
            <w:vAlign w:val="center"/>
          </w:tcPr>
          <w:p w14:paraId="235442DE" w14:textId="77777777" w:rsidR="00191ABF" w:rsidRPr="0050243A" w:rsidRDefault="00191ABF" w:rsidP="008546EF">
            <w:pPr>
              <w:ind w:right="78"/>
              <w:jc w:val="center"/>
              <w:rPr>
                <w:rFonts w:ascii="Times New Roman" w:hAnsi="Times New Roman" w:cs="Times New Roman"/>
                <w:color w:val="000000" w:themeColor="text1"/>
                <w:sz w:val="20"/>
                <w:szCs w:val="20"/>
              </w:rPr>
            </w:pPr>
          </w:p>
        </w:tc>
        <w:tc>
          <w:tcPr>
            <w:tcW w:w="8010" w:type="dxa"/>
            <w:vAlign w:val="center"/>
          </w:tcPr>
          <w:p w14:paraId="72960E5F" w14:textId="77777777" w:rsidR="00191ABF" w:rsidRPr="0050243A" w:rsidRDefault="00191ABF" w:rsidP="008546EF">
            <w:pPr>
              <w:ind w:right="78"/>
              <w:jc w:val="center"/>
              <w:rPr>
                <w:rFonts w:ascii="Times New Roman" w:hAnsi="Times New Roman" w:cs="Times New Roman"/>
                <w:color w:val="000000" w:themeColor="text1"/>
                <w:sz w:val="20"/>
                <w:szCs w:val="20"/>
              </w:rPr>
            </w:pPr>
            <m:oMath>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t</m:t>
                  </m:r>
                </m:sub>
              </m:sSub>
              <m:r>
                <w:rPr>
                  <w:rFonts w:ascii="Cambria Math" w:hAnsi="Cambria Math" w:cs="Times New Roman"/>
                  <w:color w:val="000000" w:themeColor="text1"/>
                  <w:sz w:val="20"/>
                  <w:szCs w:val="20"/>
                </w:rPr>
                <m:t>=α+βt+γ</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t-1</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ε</m:t>
                  </m:r>
                </m:e>
                <m:sub>
                  <m:r>
                    <w:rPr>
                      <w:rFonts w:ascii="Cambria Math" w:hAnsi="Cambria Math" w:cs="Times New Roman"/>
                      <w:color w:val="000000" w:themeColor="text1"/>
                      <w:sz w:val="20"/>
                      <w:szCs w:val="20"/>
                    </w:rPr>
                    <m:t>t</m:t>
                  </m:r>
                </m:sub>
              </m:sSub>
            </m:oMath>
            <w:r w:rsidRPr="0050243A">
              <w:rPr>
                <w:rFonts w:ascii="Times New Roman" w:hAnsi="Times New Roman" w:cs="Times New Roman"/>
                <w:color w:val="000000" w:themeColor="text1"/>
                <w:sz w:val="20"/>
                <w:szCs w:val="20"/>
              </w:rPr>
              <w:t>.</w:t>
            </w:r>
          </w:p>
        </w:tc>
        <w:tc>
          <w:tcPr>
            <w:tcW w:w="561" w:type="dxa"/>
            <w:vAlign w:val="center"/>
          </w:tcPr>
          <w:p w14:paraId="01B2368C" w14:textId="77777777" w:rsidR="00191ABF" w:rsidRPr="0050243A" w:rsidRDefault="00191ABF" w:rsidP="008546EF">
            <w:pPr>
              <w:ind w:right="78"/>
              <w:jc w:val="center"/>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(6)</w:t>
            </w:r>
          </w:p>
        </w:tc>
      </w:tr>
    </w:tbl>
    <w:p w14:paraId="117FAE3D" w14:textId="77777777" w:rsidR="00E26A69" w:rsidRDefault="00E26A69" w:rsidP="008546EF">
      <w:pPr>
        <w:shd w:val="clear" w:color="auto" w:fill="FFFFFF"/>
        <w:ind w:right="78"/>
        <w:jc w:val="both"/>
        <w:rPr>
          <w:b/>
          <w:bCs/>
          <w:color w:val="000000" w:themeColor="text1"/>
          <w:sz w:val="20"/>
          <w:szCs w:val="20"/>
        </w:rPr>
      </w:pPr>
    </w:p>
    <w:p w14:paraId="064D85D5" w14:textId="64970AA1" w:rsidR="00191ABF" w:rsidRDefault="00191ABF" w:rsidP="008546EF">
      <w:pPr>
        <w:shd w:val="clear" w:color="auto" w:fill="FFFFFF"/>
        <w:ind w:right="78"/>
        <w:jc w:val="both"/>
        <w:rPr>
          <w:b/>
          <w:bCs/>
          <w:i/>
          <w:iCs/>
          <w:color w:val="000000" w:themeColor="text1"/>
          <w:sz w:val="20"/>
          <w:szCs w:val="20"/>
        </w:rPr>
      </w:pPr>
      <w:r w:rsidRPr="00E26A69">
        <w:rPr>
          <w:b/>
          <w:bCs/>
          <w:i/>
          <w:iCs/>
          <w:color w:val="000000" w:themeColor="text1"/>
          <w:sz w:val="20"/>
          <w:szCs w:val="20"/>
        </w:rPr>
        <w:t>2.5 Model Evaluation</w:t>
      </w:r>
    </w:p>
    <w:p w14:paraId="7EBDE988" w14:textId="77777777" w:rsidR="00E26A69" w:rsidRPr="00E26A69" w:rsidRDefault="00E26A69" w:rsidP="008546EF">
      <w:pPr>
        <w:shd w:val="clear" w:color="auto" w:fill="FFFFFF"/>
        <w:ind w:right="78"/>
        <w:jc w:val="both"/>
        <w:rPr>
          <w:b/>
          <w:bCs/>
          <w:i/>
          <w:iCs/>
          <w:color w:val="000000" w:themeColor="text1"/>
          <w:sz w:val="20"/>
          <w:szCs w:val="20"/>
        </w:rPr>
      </w:pPr>
    </w:p>
    <w:p w14:paraId="6713ECDB" w14:textId="77777777" w:rsidR="00191ABF" w:rsidRDefault="00191ABF" w:rsidP="008546EF">
      <w:pPr>
        <w:shd w:val="clear" w:color="auto" w:fill="FFFFFF"/>
        <w:ind w:right="78"/>
        <w:jc w:val="both"/>
        <w:rPr>
          <w:b/>
          <w:bCs/>
          <w:color w:val="000000" w:themeColor="text1"/>
          <w:sz w:val="20"/>
          <w:szCs w:val="20"/>
        </w:rPr>
      </w:pPr>
      <w:r w:rsidRPr="0050243A">
        <w:rPr>
          <w:b/>
          <w:bCs/>
          <w:color w:val="000000" w:themeColor="text1"/>
          <w:sz w:val="20"/>
          <w:szCs w:val="20"/>
        </w:rPr>
        <w:t>Hannan-Quinn (HQ) and Schwarz criterion (BIC)</w:t>
      </w:r>
    </w:p>
    <w:p w14:paraId="77A66495" w14:textId="77777777" w:rsidR="00E26A69" w:rsidRPr="0050243A" w:rsidRDefault="00E26A69" w:rsidP="008546EF">
      <w:pPr>
        <w:shd w:val="clear" w:color="auto" w:fill="FFFFFF"/>
        <w:ind w:right="78"/>
        <w:jc w:val="both"/>
        <w:rPr>
          <w:b/>
          <w:bCs/>
          <w:color w:val="000000" w:themeColor="text1"/>
          <w:sz w:val="20"/>
          <w:szCs w:val="20"/>
        </w:rPr>
      </w:pPr>
    </w:p>
    <w:p w14:paraId="02727B68" w14:textId="77777777" w:rsidR="00191ABF" w:rsidRPr="0050243A" w:rsidRDefault="00191ABF" w:rsidP="008546EF">
      <w:pPr>
        <w:shd w:val="clear" w:color="auto" w:fill="FFFFFF"/>
        <w:spacing w:line="324" w:lineRule="auto"/>
        <w:ind w:right="78"/>
        <w:jc w:val="both"/>
        <w:rPr>
          <w:color w:val="000000" w:themeColor="text1"/>
          <w:sz w:val="20"/>
          <w:szCs w:val="20"/>
        </w:rPr>
      </w:pPr>
      <w:r w:rsidRPr="0050243A">
        <w:rPr>
          <w:color w:val="000000" w:themeColor="text1"/>
          <w:sz w:val="20"/>
          <w:szCs w:val="20"/>
        </w:rPr>
        <w:t xml:space="preserve">The Hannan-Quinn (HQ) criterion and Schwarz criterion (BIC) are model selection tools that balance goodness-of-fit and model complexity. The Hannan-Quinn criterion is defined as </w:t>
      </w:r>
      <w:sdt>
        <w:sdtPr>
          <w:rPr>
            <w:color w:val="000000"/>
            <w:sz w:val="20"/>
            <w:szCs w:val="20"/>
          </w:rPr>
          <w:tag w:val="MENDELEY_CITATION_v3_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"/>
          <w:id w:val="-1406907910"/>
          <w:placeholder>
            <w:docPart w:val="31E3ED1B8C5D4E5F964ED93C36DBD2A2"/>
          </w:placeholder>
        </w:sdtPr>
        <w:sdtContent>
          <w:r w:rsidRPr="0050243A">
            <w:rPr>
              <w:color w:val="000000"/>
              <w:sz w:val="20"/>
              <w:szCs w:val="20"/>
            </w:rPr>
            <w:t>(Ding et al., 2018)</w:t>
          </w:r>
        </w:sdtContent>
      </w:sdt>
      <w:r w:rsidRPr="0050243A">
        <w:rPr>
          <w:color w:val="000000" w:themeColor="text1"/>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
        <w:gridCol w:w="7135"/>
        <w:gridCol w:w="556"/>
      </w:tblGrid>
      <w:tr w:rsidR="00191ABF" w:rsidRPr="0050243A" w14:paraId="444ABAA9" w14:textId="77777777" w:rsidTr="002B4E8F">
        <w:trPr>
          <w:trHeight w:val="20"/>
        </w:trPr>
        <w:tc>
          <w:tcPr>
            <w:tcW w:w="265" w:type="dxa"/>
          </w:tcPr>
          <w:p w14:paraId="7CF50331" w14:textId="77777777" w:rsidR="00191ABF" w:rsidRPr="0050243A" w:rsidRDefault="00191ABF" w:rsidP="008546EF">
            <w:pPr>
              <w:ind w:right="78"/>
              <w:jc w:val="both"/>
              <w:rPr>
                <w:rFonts w:ascii="Times New Roman" w:hAnsi="Times New Roman" w:cs="Times New Roman"/>
                <w:color w:val="000000" w:themeColor="text1"/>
                <w:sz w:val="20"/>
                <w:szCs w:val="20"/>
              </w:rPr>
            </w:pPr>
          </w:p>
        </w:tc>
        <w:tc>
          <w:tcPr>
            <w:tcW w:w="8190" w:type="dxa"/>
            <w:vAlign w:val="center"/>
          </w:tcPr>
          <w:p w14:paraId="5E887AC5" w14:textId="77777777" w:rsidR="00191ABF" w:rsidRPr="0050243A" w:rsidRDefault="00191ABF" w:rsidP="008546EF">
            <w:pPr>
              <w:shd w:val="clear" w:color="auto" w:fill="FFFFFF"/>
              <w:ind w:right="78"/>
              <w:jc w:val="center"/>
              <w:rPr>
                <w:rFonts w:ascii="Times New Roman" w:hAnsi="Times New Roman" w:cs="Times New Roman"/>
                <w:color w:val="000000" w:themeColor="text1"/>
                <w:sz w:val="20"/>
                <w:szCs w:val="20"/>
              </w:rPr>
            </w:pPr>
            <m:oMathPara>
              <m:oMath>
                <m:r>
                  <w:rPr>
                    <w:rFonts w:ascii="Cambria Math" w:hAnsi="Cambria Math" w:cs="Times New Roman"/>
                    <w:color w:val="000000" w:themeColor="text1"/>
                    <w:sz w:val="20"/>
                    <w:szCs w:val="20"/>
                  </w:rPr>
                  <m:t>HQ</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p</m:t>
                    </m:r>
                  </m:e>
                </m:d>
                <m:r>
                  <w:rPr>
                    <w:rFonts w:ascii="Cambria Math" w:hAnsi="Cambria Math" w:cs="Times New Roman"/>
                    <w:color w:val="000000" w:themeColor="text1"/>
                    <w:sz w:val="20"/>
                    <w:szCs w:val="20"/>
                  </w:rPr>
                  <m:t>=ln</m:t>
                </m:r>
                <m:d>
                  <m:dPr>
                    <m:ctrlPr>
                      <w:rPr>
                        <w:rFonts w:ascii="Cambria Math" w:hAnsi="Cambria Math" w:cs="Times New Roman"/>
                        <w:i/>
                        <w:color w:val="000000" w:themeColor="text1"/>
                        <w:sz w:val="20"/>
                        <w:szCs w:val="20"/>
                      </w:rPr>
                    </m:ctrlPr>
                  </m:dPr>
                  <m:e>
                    <m:sSup>
                      <m:sSupPr>
                        <m:ctrlPr>
                          <w:rPr>
                            <w:rFonts w:ascii="Cambria Math" w:hAnsi="Cambria Math" w:cs="Times New Roman"/>
                            <w:i/>
                            <w:color w:val="000000" w:themeColor="text1"/>
                            <w:sz w:val="20"/>
                            <w:szCs w:val="20"/>
                          </w:rPr>
                        </m:ctrlPr>
                      </m:sSup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σ</m:t>
                            </m:r>
                          </m:e>
                        </m:acc>
                      </m:e>
                      <m:sup>
                        <m:r>
                          <w:rPr>
                            <w:rFonts w:ascii="Cambria Math" w:hAnsi="Cambria Math" w:cs="Times New Roman"/>
                            <w:color w:val="000000" w:themeColor="text1"/>
                            <w:sz w:val="20"/>
                            <w:szCs w:val="20"/>
                          </w:rPr>
                          <m:t>2</m:t>
                        </m:r>
                      </m:sup>
                    </m:sSup>
                  </m:e>
                </m:d>
                <m:r>
                  <w:rPr>
                    <w:rFonts w:ascii="Cambria Math" w:hAnsi="Cambria Math" w:cs="Times New Roman"/>
                    <w:color w:val="000000" w:themeColor="text1"/>
                    <w:sz w:val="20"/>
                    <w:szCs w:val="20"/>
                  </w:rPr>
                  <m:t>+</m:t>
                </m:r>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2k</m:t>
                    </m:r>
                  </m:num>
                  <m:den>
                    <m:r>
                      <w:rPr>
                        <w:rFonts w:ascii="Cambria Math" w:hAnsi="Cambria Math" w:cs="Times New Roman"/>
                        <w:color w:val="000000" w:themeColor="text1"/>
                        <w:sz w:val="20"/>
                        <w:szCs w:val="20"/>
                      </w:rPr>
                      <m:t>n</m:t>
                    </m:r>
                  </m:den>
                </m:f>
                <m:r>
                  <w:rPr>
                    <w:rFonts w:ascii="Cambria Math" w:hAnsi="Cambria Math" w:cs="Times New Roman"/>
                    <w:color w:val="000000" w:themeColor="text1"/>
                    <w:sz w:val="20"/>
                    <w:szCs w:val="20"/>
                  </w:rPr>
                  <m:t xml:space="preserve"> ln</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ln</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n</m:t>
                        </m:r>
                      </m:e>
                    </m:d>
                  </m:e>
                </m:d>
              </m:oMath>
            </m:oMathPara>
          </w:p>
        </w:tc>
        <w:tc>
          <w:tcPr>
            <w:tcW w:w="561" w:type="dxa"/>
            <w:vAlign w:val="center"/>
          </w:tcPr>
          <w:p w14:paraId="34DAADCF" w14:textId="77777777" w:rsidR="00191ABF" w:rsidRPr="0050243A" w:rsidRDefault="00191ABF" w:rsidP="008546EF">
            <w:pPr>
              <w:ind w:right="78"/>
              <w:jc w:val="center"/>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(7)</w:t>
            </w:r>
          </w:p>
        </w:tc>
      </w:tr>
    </w:tbl>
    <w:p w14:paraId="2B1AB468" w14:textId="77777777" w:rsidR="00E26A69" w:rsidRDefault="00E26A69" w:rsidP="008546EF">
      <w:pPr>
        <w:shd w:val="clear" w:color="auto" w:fill="FFFFFF"/>
        <w:ind w:right="78"/>
        <w:jc w:val="both"/>
        <w:rPr>
          <w:color w:val="000000" w:themeColor="text1"/>
          <w:sz w:val="20"/>
          <w:szCs w:val="20"/>
        </w:rPr>
      </w:pPr>
    </w:p>
    <w:p w14:paraId="01E7C4C8" w14:textId="304A3D34" w:rsidR="00191ABF" w:rsidRDefault="00191ABF" w:rsidP="008546EF">
      <w:pPr>
        <w:shd w:val="clear" w:color="auto" w:fill="FFFFFF"/>
        <w:spacing w:line="324" w:lineRule="auto"/>
        <w:ind w:right="78"/>
        <w:jc w:val="both"/>
        <w:rPr>
          <w:iCs/>
          <w:color w:val="000000" w:themeColor="text1"/>
          <w:sz w:val="20"/>
          <w:szCs w:val="20"/>
        </w:rPr>
      </w:pPr>
      <w:r w:rsidRPr="0050243A">
        <w:rPr>
          <w:color w:val="000000" w:themeColor="text1"/>
          <w:sz w:val="20"/>
          <w:szCs w:val="20"/>
        </w:rPr>
        <w:t xml:space="preserve">Here, </w:t>
      </w:r>
      <m:oMath>
        <m:r>
          <w:rPr>
            <w:rFonts w:ascii="Cambria Math" w:hAnsi="Cambria Math"/>
            <w:color w:val="000000" w:themeColor="text1"/>
            <w:sz w:val="20"/>
            <w:szCs w:val="20"/>
          </w:rPr>
          <m:t>n</m:t>
        </m:r>
      </m:oMath>
      <w:r w:rsidRPr="0050243A">
        <w:rPr>
          <w:color w:val="000000" w:themeColor="text1"/>
          <w:sz w:val="20"/>
          <w:szCs w:val="20"/>
        </w:rPr>
        <w:t xml:space="preserve"> is the number of observations, </w:t>
      </w:r>
      <m:oMath>
        <m:r>
          <w:rPr>
            <w:rFonts w:ascii="Cambria Math" w:hAnsi="Cambria Math"/>
            <w:color w:val="000000" w:themeColor="text1"/>
            <w:sz w:val="20"/>
            <w:szCs w:val="20"/>
          </w:rPr>
          <m:t>k</m:t>
        </m:r>
      </m:oMath>
      <w:r w:rsidRPr="0050243A">
        <w:rPr>
          <w:color w:val="000000" w:themeColor="text1"/>
          <w:sz w:val="20"/>
          <w:szCs w:val="20"/>
        </w:rPr>
        <w:t xml:space="preserve"> is the number of estimated parameters (e.g., lags or variables), and</w:t>
      </w:r>
      <w:r w:rsidRPr="0050243A">
        <w:rPr>
          <w:i/>
          <w:color w:val="000000" w:themeColor="text1"/>
          <w:sz w:val="20"/>
          <w:szCs w:val="20"/>
        </w:rPr>
        <w:t xml:space="preserve"> </w:t>
      </w:r>
      <m:oMath>
        <m:sSup>
          <m:sSupPr>
            <m:ctrlPr>
              <w:rPr>
                <w:rFonts w:ascii="Cambria Math" w:hAnsi="Cambria Math"/>
                <w:i/>
                <w:color w:val="000000" w:themeColor="text1"/>
                <w:sz w:val="20"/>
                <w:szCs w:val="20"/>
              </w:rPr>
            </m:ctrlPr>
          </m:sSupPr>
          <m:e>
            <m:acc>
              <m:accPr>
                <m:ctrlPr>
                  <w:rPr>
                    <w:rFonts w:ascii="Cambria Math" w:hAnsi="Cambria Math"/>
                    <w:i/>
                    <w:color w:val="000000" w:themeColor="text1"/>
                    <w:sz w:val="20"/>
                    <w:szCs w:val="20"/>
                  </w:rPr>
                </m:ctrlPr>
              </m:accPr>
              <m:e>
                <m:r>
                  <w:rPr>
                    <w:rFonts w:ascii="Cambria Math" w:hAnsi="Cambria Math"/>
                    <w:color w:val="000000" w:themeColor="text1"/>
                    <w:sz w:val="20"/>
                    <w:szCs w:val="20"/>
                  </w:rPr>
                  <m:t>σ</m:t>
                </m:r>
              </m:e>
            </m:acc>
          </m:e>
          <m:sup>
            <m:r>
              <w:rPr>
                <w:rFonts w:ascii="Cambria Math" w:hAnsi="Cambria Math"/>
                <w:color w:val="000000" w:themeColor="text1"/>
                <w:sz w:val="20"/>
                <w:szCs w:val="20"/>
              </w:rPr>
              <m:t>2</m:t>
            </m:r>
          </m:sup>
        </m:sSup>
      </m:oMath>
      <w:r w:rsidRPr="0050243A">
        <w:rPr>
          <w:color w:val="000000" w:themeColor="text1"/>
          <w:sz w:val="20"/>
          <w:szCs w:val="20"/>
        </w:rPr>
        <w:t xml:space="preserve"> </w:t>
      </w:r>
      <w:r w:rsidRPr="0050243A">
        <w:rPr>
          <w:iCs/>
          <w:color w:val="000000" w:themeColor="text1"/>
          <w:sz w:val="20"/>
          <w:szCs w:val="20"/>
        </w:rPr>
        <w:t>is the estimated residual variance.</w:t>
      </w:r>
    </w:p>
    <w:p w14:paraId="045054A8" w14:textId="77777777" w:rsidR="00E26A69" w:rsidRPr="0050243A" w:rsidRDefault="00E26A69" w:rsidP="008546EF">
      <w:pPr>
        <w:shd w:val="clear" w:color="auto" w:fill="FFFFFF"/>
        <w:ind w:right="78"/>
        <w:jc w:val="both"/>
        <w:rPr>
          <w:iCs/>
          <w:color w:val="000000" w:themeColor="text1"/>
          <w:sz w:val="20"/>
          <w:szCs w:val="20"/>
        </w:rPr>
      </w:pPr>
    </w:p>
    <w:p w14:paraId="3374E8E6" w14:textId="77777777" w:rsidR="00191ABF" w:rsidRDefault="00191ABF" w:rsidP="008546EF">
      <w:pPr>
        <w:shd w:val="clear" w:color="auto" w:fill="FFFFFF"/>
        <w:ind w:right="78"/>
        <w:jc w:val="both"/>
        <w:rPr>
          <w:color w:val="000000" w:themeColor="text1"/>
          <w:sz w:val="20"/>
          <w:szCs w:val="20"/>
        </w:rPr>
      </w:pPr>
      <w:r w:rsidRPr="0050243A">
        <w:rPr>
          <w:color w:val="000000" w:themeColor="text1"/>
          <w:sz w:val="20"/>
          <w:szCs w:val="20"/>
        </w:rPr>
        <w:t xml:space="preserve">The </w:t>
      </w:r>
      <w:r w:rsidRPr="0050243A">
        <w:rPr>
          <w:rStyle w:val="Strong"/>
          <w:b w:val="0"/>
          <w:bCs w:val="0"/>
          <w:color w:val="000000" w:themeColor="text1"/>
          <w:sz w:val="20"/>
          <w:szCs w:val="20"/>
        </w:rPr>
        <w:t>Schwarz criterion (SC/BIC)</w:t>
      </w:r>
      <w:r w:rsidRPr="0050243A">
        <w:rPr>
          <w:color w:val="000000" w:themeColor="text1"/>
          <w:sz w:val="20"/>
          <w:szCs w:val="20"/>
        </w:rPr>
        <w:t xml:space="preserve"> is given by </w:t>
      </w:r>
      <w:sdt>
        <w:sdtPr>
          <w:rPr>
            <w:color w:val="000000"/>
            <w:sz w:val="20"/>
            <w:szCs w:val="20"/>
          </w:rPr>
          <w:tag w:val="MENDELEY_CITATION_v3_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"/>
          <w:id w:val="-1878384405"/>
          <w:placeholder>
            <w:docPart w:val="31E3ED1B8C5D4E5F964ED93C36DBD2A2"/>
          </w:placeholder>
        </w:sdtPr>
        <w:sdtContent>
          <w:r w:rsidRPr="0050243A">
            <w:rPr>
              <w:color w:val="000000"/>
              <w:sz w:val="20"/>
              <w:szCs w:val="20"/>
            </w:rPr>
            <w:t>(Ding et al., 2018)</w:t>
          </w:r>
        </w:sdtContent>
      </w:sdt>
      <w:r w:rsidRPr="0050243A">
        <w:rPr>
          <w:color w:val="000000" w:themeColor="text1"/>
          <w:sz w:val="20"/>
          <w:szCs w:val="20"/>
        </w:rPr>
        <w:t>:</w:t>
      </w:r>
    </w:p>
    <w:p w14:paraId="1AE7A3AF" w14:textId="77777777" w:rsidR="00E26A69" w:rsidRPr="0050243A" w:rsidRDefault="00E26A69" w:rsidP="008546EF">
      <w:pPr>
        <w:shd w:val="clear" w:color="auto" w:fill="FFFFFF"/>
        <w:ind w:right="78"/>
        <w:jc w:val="both"/>
        <w:rPr>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7013"/>
        <w:gridCol w:w="528"/>
      </w:tblGrid>
      <w:tr w:rsidR="00191ABF" w:rsidRPr="0050243A" w14:paraId="34206310" w14:textId="77777777" w:rsidTr="002B4E8F">
        <w:trPr>
          <w:trHeight w:val="20"/>
        </w:trPr>
        <w:tc>
          <w:tcPr>
            <w:tcW w:w="445" w:type="dxa"/>
            <w:vAlign w:val="center"/>
          </w:tcPr>
          <w:p w14:paraId="27179AE5" w14:textId="77777777" w:rsidR="00191ABF" w:rsidRPr="0050243A" w:rsidRDefault="00191ABF" w:rsidP="008546EF">
            <w:pPr>
              <w:ind w:right="78"/>
              <w:jc w:val="center"/>
              <w:rPr>
                <w:rFonts w:ascii="Times New Roman" w:hAnsi="Times New Roman" w:cs="Times New Roman"/>
                <w:iCs/>
                <w:color w:val="000000" w:themeColor="text1"/>
                <w:sz w:val="20"/>
                <w:szCs w:val="20"/>
              </w:rPr>
            </w:pPr>
          </w:p>
        </w:tc>
        <w:tc>
          <w:tcPr>
            <w:tcW w:w="8190" w:type="dxa"/>
            <w:vAlign w:val="center"/>
          </w:tcPr>
          <w:p w14:paraId="4F9E1DC7" w14:textId="77777777" w:rsidR="00191ABF" w:rsidRPr="0050243A" w:rsidRDefault="00191ABF" w:rsidP="008546EF">
            <w:pPr>
              <w:shd w:val="clear" w:color="auto" w:fill="FFFFFF"/>
              <w:ind w:right="78"/>
              <w:jc w:val="center"/>
              <w:rPr>
                <w:rFonts w:ascii="Times New Roman" w:hAnsi="Times New Roman" w:cs="Times New Roman"/>
                <w:color w:val="000000" w:themeColor="text1"/>
                <w:sz w:val="20"/>
                <w:szCs w:val="20"/>
              </w:rPr>
            </w:pPr>
            <m:oMathPara>
              <m:oMath>
                <m:r>
                  <w:rPr>
                    <w:rFonts w:ascii="Cambria Math" w:hAnsi="Cambria Math" w:cs="Times New Roman"/>
                    <w:color w:val="000000" w:themeColor="text1"/>
                    <w:sz w:val="20"/>
                    <w:szCs w:val="20"/>
                  </w:rPr>
                  <m:t>SC</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p</m:t>
                    </m:r>
                  </m:e>
                </m:d>
                <m:r>
                  <w:rPr>
                    <w:rFonts w:ascii="Cambria Math" w:hAnsi="Cambria Math" w:cs="Times New Roman"/>
                    <w:color w:val="000000" w:themeColor="text1"/>
                    <w:sz w:val="20"/>
                    <w:szCs w:val="20"/>
                  </w:rPr>
                  <m:t>=ln</m:t>
                </m:r>
                <m:d>
                  <m:dPr>
                    <m:ctrlPr>
                      <w:rPr>
                        <w:rFonts w:ascii="Cambria Math" w:hAnsi="Cambria Math" w:cs="Times New Roman"/>
                        <w:i/>
                        <w:color w:val="000000" w:themeColor="text1"/>
                        <w:sz w:val="20"/>
                        <w:szCs w:val="20"/>
                      </w:rPr>
                    </m:ctrlPr>
                  </m:dPr>
                  <m:e>
                    <m:sSup>
                      <m:sSupPr>
                        <m:ctrlPr>
                          <w:rPr>
                            <w:rFonts w:ascii="Cambria Math" w:hAnsi="Cambria Math" w:cs="Times New Roman"/>
                            <w:i/>
                            <w:color w:val="000000" w:themeColor="text1"/>
                            <w:sz w:val="20"/>
                            <w:szCs w:val="20"/>
                          </w:rPr>
                        </m:ctrlPr>
                      </m:sSup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σ</m:t>
                            </m:r>
                          </m:e>
                        </m:acc>
                      </m:e>
                      <m:sup>
                        <m:r>
                          <w:rPr>
                            <w:rFonts w:ascii="Cambria Math" w:hAnsi="Cambria Math" w:cs="Times New Roman"/>
                            <w:color w:val="000000" w:themeColor="text1"/>
                            <w:sz w:val="20"/>
                            <w:szCs w:val="20"/>
                          </w:rPr>
                          <m:t>2</m:t>
                        </m:r>
                      </m:sup>
                    </m:sSup>
                  </m:e>
                </m:d>
                <m:r>
                  <w:rPr>
                    <w:rFonts w:ascii="Cambria Math" w:hAnsi="Cambria Math" w:cs="Times New Roman"/>
                    <w:color w:val="000000" w:themeColor="text1"/>
                    <w:sz w:val="20"/>
                    <w:szCs w:val="20"/>
                  </w:rPr>
                  <m:t>+</m:t>
                </m:r>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k</m:t>
                    </m:r>
                  </m:num>
                  <m:den>
                    <m:r>
                      <w:rPr>
                        <w:rFonts w:ascii="Cambria Math" w:hAnsi="Cambria Math" w:cs="Times New Roman"/>
                        <w:color w:val="000000" w:themeColor="text1"/>
                        <w:sz w:val="20"/>
                        <w:szCs w:val="20"/>
                      </w:rPr>
                      <m:t>n</m:t>
                    </m:r>
                  </m:den>
                </m:f>
                <m:r>
                  <w:rPr>
                    <w:rFonts w:ascii="Cambria Math" w:hAnsi="Cambria Math" w:cs="Times New Roman"/>
                    <w:color w:val="000000" w:themeColor="text1"/>
                    <w:sz w:val="20"/>
                    <w:szCs w:val="20"/>
                  </w:rPr>
                  <m:t xml:space="preserve"> </m:t>
                </m:r>
                <m:r>
                  <m:rPr>
                    <m:sty m:val="p"/>
                  </m:rPr>
                  <w:rPr>
                    <w:rFonts w:ascii="Cambria Math" w:hAnsi="Cambria Math" w:cs="Times New Roman"/>
                    <w:color w:val="000000" w:themeColor="text1"/>
                    <w:sz w:val="20"/>
                    <w:szCs w:val="20"/>
                  </w:rPr>
                  <m:t>ln⁡</m:t>
                </m:r>
                <m:r>
                  <w:rPr>
                    <w:rFonts w:ascii="Cambria Math" w:hAnsi="Cambria Math" w:cs="Times New Roman"/>
                    <w:color w:val="000000" w:themeColor="text1"/>
                    <w:sz w:val="20"/>
                    <w:szCs w:val="20"/>
                  </w:rPr>
                  <m:t>(n)</m:t>
                </m:r>
              </m:oMath>
            </m:oMathPara>
          </w:p>
        </w:tc>
        <w:tc>
          <w:tcPr>
            <w:tcW w:w="381" w:type="dxa"/>
            <w:vAlign w:val="center"/>
          </w:tcPr>
          <w:p w14:paraId="7FE94C48" w14:textId="77777777" w:rsidR="00191ABF" w:rsidRPr="0050243A" w:rsidRDefault="00191ABF" w:rsidP="008546EF">
            <w:pPr>
              <w:ind w:right="78"/>
              <w:jc w:val="center"/>
              <w:rPr>
                <w:rFonts w:ascii="Times New Roman" w:hAnsi="Times New Roman" w:cs="Times New Roman"/>
                <w:iCs/>
                <w:color w:val="000000" w:themeColor="text1"/>
                <w:sz w:val="20"/>
                <w:szCs w:val="20"/>
              </w:rPr>
            </w:pPr>
            <w:r w:rsidRPr="0050243A">
              <w:rPr>
                <w:rFonts w:ascii="Times New Roman" w:hAnsi="Times New Roman" w:cs="Times New Roman"/>
                <w:iCs/>
                <w:color w:val="000000" w:themeColor="text1"/>
                <w:sz w:val="20"/>
                <w:szCs w:val="20"/>
              </w:rPr>
              <w:t>(8)</w:t>
            </w:r>
          </w:p>
        </w:tc>
      </w:tr>
    </w:tbl>
    <w:p w14:paraId="0300B115" w14:textId="77777777" w:rsidR="00E26A69" w:rsidRDefault="00E26A69" w:rsidP="008546EF">
      <w:pPr>
        <w:shd w:val="clear" w:color="auto" w:fill="FFFFFF"/>
        <w:ind w:right="78"/>
        <w:jc w:val="both"/>
        <w:rPr>
          <w:b/>
          <w:bCs/>
          <w:color w:val="000000" w:themeColor="text1"/>
          <w:sz w:val="20"/>
          <w:szCs w:val="20"/>
        </w:rPr>
      </w:pPr>
    </w:p>
    <w:p w14:paraId="59852EDC" w14:textId="437F3AD4" w:rsidR="00191ABF" w:rsidRDefault="00191ABF" w:rsidP="008546EF">
      <w:pPr>
        <w:shd w:val="clear" w:color="auto" w:fill="FFFFFF"/>
        <w:ind w:right="78"/>
        <w:jc w:val="both"/>
        <w:rPr>
          <w:b/>
          <w:bCs/>
          <w:color w:val="000000" w:themeColor="text1"/>
          <w:sz w:val="20"/>
          <w:szCs w:val="20"/>
        </w:rPr>
      </w:pPr>
      <w:r w:rsidRPr="0050243A">
        <w:rPr>
          <w:b/>
          <w:bCs/>
          <w:color w:val="000000" w:themeColor="text1"/>
          <w:sz w:val="20"/>
          <w:szCs w:val="20"/>
        </w:rPr>
        <w:t>Sum of Squared Residuals (SSR)</w:t>
      </w:r>
    </w:p>
    <w:p w14:paraId="39295580" w14:textId="77777777" w:rsidR="00E26A69" w:rsidRPr="0050243A" w:rsidRDefault="00E26A69" w:rsidP="008546EF">
      <w:pPr>
        <w:shd w:val="clear" w:color="auto" w:fill="FFFFFF"/>
        <w:ind w:right="78"/>
        <w:jc w:val="both"/>
        <w:rPr>
          <w:b/>
          <w:bCs/>
          <w:color w:val="000000" w:themeColor="text1"/>
          <w:sz w:val="20"/>
          <w:szCs w:val="20"/>
        </w:rPr>
      </w:pPr>
    </w:p>
    <w:p w14:paraId="656383CA" w14:textId="588771AF" w:rsidR="00191ABF" w:rsidRDefault="00191ABF" w:rsidP="008546EF">
      <w:pPr>
        <w:shd w:val="clear" w:color="auto" w:fill="FFFFFF"/>
        <w:spacing w:line="324" w:lineRule="auto"/>
        <w:ind w:right="78"/>
        <w:jc w:val="both"/>
        <w:rPr>
          <w:color w:val="000000" w:themeColor="text1"/>
          <w:sz w:val="20"/>
          <w:szCs w:val="20"/>
        </w:rPr>
      </w:pPr>
      <w:r w:rsidRPr="0050243A">
        <w:rPr>
          <w:color w:val="000000" w:themeColor="text1"/>
          <w:sz w:val="20"/>
          <w:szCs w:val="20"/>
        </w:rPr>
        <w:t xml:space="preserve">The Sum of Squared Residuals (SSR) quantifies the total deviation of observed values from the values predicted by a model. It is a key measure of model fit, with lower SSR values indicating better predictive accuracy. The formula for SSR is </w:t>
      </w:r>
      <w:sdt>
        <w:sdtPr>
          <w:rPr>
            <w:color w:val="000000"/>
            <w:sz w:val="20"/>
            <w:szCs w:val="20"/>
          </w:rPr>
          <w:tag w:val="MENDELEY_CITATION_v3_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"/>
          <w:id w:val="-2046590612"/>
          <w:placeholder>
            <w:docPart w:val="31E3ED1B8C5D4E5F964ED93C36DBD2A2"/>
          </w:placeholder>
        </w:sdtPr>
        <w:sdtContent>
          <w:r w:rsidRPr="0050243A">
            <w:rPr>
              <w:color w:val="000000"/>
              <w:sz w:val="20"/>
              <w:szCs w:val="20"/>
            </w:rPr>
            <w:t>(Kim, 2018)</w:t>
          </w:r>
        </w:sdtContent>
      </w:sdt>
      <w:r w:rsidRPr="0050243A">
        <w:rPr>
          <w:color w:val="000000" w:themeColor="text1"/>
          <w:sz w:val="20"/>
          <w:szCs w:val="20"/>
        </w:rPr>
        <w:t>:</w:t>
      </w:r>
    </w:p>
    <w:p w14:paraId="0341CCE6" w14:textId="77777777" w:rsidR="00E26A69" w:rsidRPr="0050243A" w:rsidRDefault="00E26A69" w:rsidP="008546EF">
      <w:pPr>
        <w:shd w:val="clear" w:color="auto" w:fill="FFFFFF"/>
        <w:ind w:right="78"/>
        <w:jc w:val="both"/>
        <w:rPr>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
        <w:gridCol w:w="7086"/>
        <w:gridCol w:w="528"/>
      </w:tblGrid>
      <w:tr w:rsidR="00191ABF" w:rsidRPr="0050243A" w14:paraId="34C90357" w14:textId="77777777" w:rsidTr="002B4E8F">
        <w:trPr>
          <w:trHeight w:val="20"/>
        </w:trPr>
        <w:tc>
          <w:tcPr>
            <w:tcW w:w="355" w:type="dxa"/>
            <w:vAlign w:val="center"/>
          </w:tcPr>
          <w:p w14:paraId="35C3BC5E" w14:textId="77777777" w:rsidR="00191ABF" w:rsidRPr="0050243A" w:rsidRDefault="00191ABF" w:rsidP="008546EF">
            <w:pPr>
              <w:ind w:right="78"/>
              <w:jc w:val="center"/>
              <w:rPr>
                <w:rFonts w:ascii="Times New Roman" w:hAnsi="Times New Roman" w:cs="Times New Roman"/>
                <w:color w:val="000000" w:themeColor="text1"/>
                <w:sz w:val="20"/>
                <w:szCs w:val="20"/>
              </w:rPr>
            </w:pPr>
          </w:p>
        </w:tc>
        <w:tc>
          <w:tcPr>
            <w:tcW w:w="8190" w:type="dxa"/>
            <w:vAlign w:val="center"/>
          </w:tcPr>
          <w:p w14:paraId="311E2FC6" w14:textId="77777777" w:rsidR="00191ABF" w:rsidRPr="0050243A" w:rsidRDefault="00191ABF" w:rsidP="008546EF">
            <w:pPr>
              <w:shd w:val="clear" w:color="auto" w:fill="FFFFFF"/>
              <w:ind w:right="78"/>
              <w:jc w:val="center"/>
              <w:rPr>
                <w:rFonts w:ascii="Times New Roman" w:hAnsi="Times New Roman" w:cs="Times New Roman"/>
                <w:color w:val="000000" w:themeColor="text1"/>
                <w:sz w:val="20"/>
                <w:szCs w:val="20"/>
              </w:rPr>
            </w:pPr>
            <m:oMathPara>
              <m:oMath>
                <m:r>
                  <w:rPr>
                    <w:rFonts w:ascii="Cambria Math" w:hAnsi="Cambria Math" w:cs="Times New Roman"/>
                    <w:color w:val="000000" w:themeColor="text1"/>
                    <w:sz w:val="20"/>
                    <w:szCs w:val="20"/>
                  </w:rPr>
                  <m:t>SSR=</m:t>
                </m:r>
                <m:nary>
                  <m:naryPr>
                    <m:chr m:val="∑"/>
                    <m:limLoc m:val="undOvr"/>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t=1</m:t>
                    </m:r>
                  </m:sub>
                  <m:sup>
                    <m:r>
                      <w:rPr>
                        <w:rFonts w:ascii="Cambria Math" w:hAnsi="Cambria Math" w:cs="Times New Roman"/>
                        <w:color w:val="000000" w:themeColor="text1"/>
                        <w:sz w:val="20"/>
                        <w:szCs w:val="20"/>
                      </w:rPr>
                      <m:t>n</m:t>
                    </m:r>
                  </m:sup>
                  <m:e>
                    <m:sSup>
                      <m:sSupPr>
                        <m:ctrlPr>
                          <w:rPr>
                            <w:rFonts w:ascii="Cambria Math" w:hAnsi="Cambria Math" w:cs="Times New Roman"/>
                            <w:i/>
                            <w:color w:val="000000" w:themeColor="text1"/>
                            <w:sz w:val="20"/>
                            <w:szCs w:val="20"/>
                          </w:rPr>
                        </m:ctrlPr>
                      </m:sSupPr>
                      <m:e>
                        <m:d>
                          <m:dPr>
                            <m:ctrlPr>
                              <w:rPr>
                                <w:rFonts w:ascii="Cambria Math" w:hAnsi="Cambria Math" w:cs="Times New Roman"/>
                                <w:i/>
                                <w:color w:val="000000" w:themeColor="text1"/>
                                <w:sz w:val="20"/>
                                <w:szCs w:val="20"/>
                              </w:rPr>
                            </m:ctrlPr>
                          </m:dPr>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t</m:t>
                                </m:r>
                              </m:sub>
                            </m:sSub>
                            <m:r>
                              <w:rPr>
                                <w:rFonts w:ascii="Cambria Math" w:hAnsi="Cambria Math" w:cs="Times New Roman"/>
                                <w:color w:val="000000" w:themeColor="text1"/>
                                <w:sz w:val="20"/>
                                <w:szCs w:val="20"/>
                              </w:rPr>
                              <m:t>-</m:t>
                            </m:r>
                            <m:acc>
                              <m:accPr>
                                <m:ctrlPr>
                                  <w:rPr>
                                    <w:rFonts w:ascii="Cambria Math" w:hAnsi="Cambria Math" w:cs="Times New Roman"/>
                                    <w:i/>
                                    <w:color w:val="000000" w:themeColor="text1"/>
                                    <w:sz w:val="20"/>
                                    <w:szCs w:val="20"/>
                                  </w:rPr>
                                </m:ctrlPr>
                              </m:accPr>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t</m:t>
                                    </m:r>
                                  </m:sub>
                                </m:sSub>
                              </m:e>
                            </m:acc>
                          </m:e>
                        </m:d>
                      </m:e>
                      <m:sup>
                        <m:r>
                          <w:rPr>
                            <w:rFonts w:ascii="Cambria Math" w:hAnsi="Cambria Math" w:cs="Times New Roman"/>
                            <w:color w:val="000000" w:themeColor="text1"/>
                            <w:sz w:val="20"/>
                            <w:szCs w:val="20"/>
                          </w:rPr>
                          <m:t>2</m:t>
                        </m:r>
                      </m:sup>
                    </m:sSup>
                    <m:r>
                      <w:rPr>
                        <w:rFonts w:ascii="Cambria Math" w:hAnsi="Cambria Math" w:cs="Times New Roman"/>
                        <w:color w:val="000000" w:themeColor="text1"/>
                        <w:sz w:val="20"/>
                        <w:szCs w:val="20"/>
                      </w:rPr>
                      <m:t>.</m:t>
                    </m:r>
                  </m:e>
                </m:nary>
              </m:oMath>
            </m:oMathPara>
          </w:p>
        </w:tc>
        <w:tc>
          <w:tcPr>
            <w:tcW w:w="471" w:type="dxa"/>
            <w:vAlign w:val="center"/>
          </w:tcPr>
          <w:p w14:paraId="6E1B9FA9" w14:textId="77777777" w:rsidR="00191ABF" w:rsidRPr="0050243A" w:rsidRDefault="00191ABF" w:rsidP="008546EF">
            <w:pPr>
              <w:ind w:right="78"/>
              <w:jc w:val="center"/>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(9)</w:t>
            </w:r>
          </w:p>
        </w:tc>
      </w:tr>
    </w:tbl>
    <w:p w14:paraId="521FC358" w14:textId="77777777" w:rsidR="00E26A69" w:rsidRDefault="00E26A69" w:rsidP="008546EF">
      <w:pPr>
        <w:shd w:val="clear" w:color="auto" w:fill="FFFFFF"/>
        <w:ind w:right="78"/>
        <w:jc w:val="both"/>
        <w:rPr>
          <w:color w:val="000000" w:themeColor="text1"/>
          <w:spacing w:val="-1"/>
          <w:sz w:val="20"/>
          <w:szCs w:val="20"/>
        </w:rPr>
      </w:pPr>
    </w:p>
    <w:p w14:paraId="1E91FEA5" w14:textId="0E5E48E9" w:rsidR="00191ABF" w:rsidRDefault="00191ABF" w:rsidP="008546EF">
      <w:pPr>
        <w:shd w:val="clear" w:color="auto" w:fill="FFFFFF"/>
        <w:spacing w:line="324" w:lineRule="auto"/>
        <w:ind w:right="78"/>
        <w:jc w:val="both"/>
        <w:rPr>
          <w:color w:val="000000" w:themeColor="text1"/>
          <w:spacing w:val="-1"/>
          <w:sz w:val="20"/>
          <w:szCs w:val="20"/>
        </w:rPr>
      </w:pPr>
      <w:r w:rsidRPr="0050243A">
        <w:rPr>
          <w:color w:val="000000" w:themeColor="text1"/>
          <w:spacing w:val="-1"/>
          <w:sz w:val="20"/>
          <w:szCs w:val="20"/>
        </w:rPr>
        <w:t xml:space="preserve">Here, n represents the total number of datasets, </w:t>
      </w:r>
      <m:oMath>
        <m:sSub>
          <m:sSubPr>
            <m:ctrlPr>
              <w:rPr>
                <w:rFonts w:ascii="Cambria Math" w:hAnsi="Cambria Math"/>
                <w:i/>
                <w:color w:val="000000" w:themeColor="text1"/>
                <w:spacing w:val="-1"/>
                <w:sz w:val="20"/>
                <w:szCs w:val="20"/>
              </w:rPr>
            </m:ctrlPr>
          </m:sSubPr>
          <m:e>
            <m:r>
              <w:rPr>
                <w:rFonts w:ascii="Cambria Math" w:hAnsi="Cambria Math"/>
                <w:color w:val="000000" w:themeColor="text1"/>
                <w:spacing w:val="-1"/>
                <w:sz w:val="20"/>
                <w:szCs w:val="20"/>
              </w:rPr>
              <m:t>Y</m:t>
            </m:r>
          </m:e>
          <m:sub>
            <m:r>
              <w:rPr>
                <w:rFonts w:ascii="Cambria Math" w:hAnsi="Cambria Math"/>
                <w:color w:val="000000" w:themeColor="text1"/>
                <w:spacing w:val="-1"/>
                <w:sz w:val="20"/>
                <w:szCs w:val="20"/>
              </w:rPr>
              <m:t xml:space="preserve">i </m:t>
            </m:r>
          </m:sub>
        </m:sSub>
      </m:oMath>
      <w:r w:rsidRPr="0050243A">
        <w:rPr>
          <w:color w:val="000000" w:themeColor="text1"/>
          <w:spacing w:val="-1"/>
          <w:sz w:val="20"/>
          <w:szCs w:val="20"/>
        </w:rPr>
        <w:t xml:space="preserve">and </w:t>
      </w:r>
      <m:oMath>
        <m:sSub>
          <m:sSubPr>
            <m:ctrlPr>
              <w:rPr>
                <w:rFonts w:ascii="Cambria Math" w:hAnsi="Cambria Math"/>
                <w:i/>
                <w:color w:val="000000" w:themeColor="text1"/>
                <w:spacing w:val="-1"/>
                <w:sz w:val="20"/>
                <w:szCs w:val="20"/>
              </w:rPr>
            </m:ctrlPr>
          </m:sSubPr>
          <m:e>
            <m:acc>
              <m:accPr>
                <m:ctrlPr>
                  <w:rPr>
                    <w:rFonts w:ascii="Cambria Math" w:hAnsi="Cambria Math"/>
                    <w:i/>
                    <w:color w:val="000000" w:themeColor="text1"/>
                    <w:spacing w:val="-1"/>
                    <w:sz w:val="20"/>
                    <w:szCs w:val="20"/>
                  </w:rPr>
                </m:ctrlPr>
              </m:accPr>
              <m:e>
                <m:r>
                  <w:rPr>
                    <w:rFonts w:ascii="Cambria Math" w:hAnsi="Cambria Math"/>
                    <w:color w:val="000000" w:themeColor="text1"/>
                    <w:spacing w:val="-1"/>
                    <w:sz w:val="20"/>
                    <w:szCs w:val="20"/>
                  </w:rPr>
                  <m:t>Y</m:t>
                </m:r>
              </m:e>
            </m:acc>
          </m:e>
          <m:sub>
            <m:r>
              <w:rPr>
                <w:rFonts w:ascii="Cambria Math" w:hAnsi="Cambria Math"/>
                <w:color w:val="000000" w:themeColor="text1"/>
                <w:spacing w:val="-1"/>
                <w:sz w:val="20"/>
                <w:szCs w:val="20"/>
              </w:rPr>
              <m:t xml:space="preserve">i </m:t>
            </m:r>
          </m:sub>
        </m:sSub>
      </m:oMath>
      <w:r w:rsidRPr="0050243A">
        <w:rPr>
          <w:color w:val="000000" w:themeColor="text1"/>
          <w:spacing w:val="-1"/>
          <w:sz w:val="20"/>
          <w:szCs w:val="20"/>
        </w:rPr>
        <w:t xml:space="preserve">are the response and predictor and variables for the </w:t>
      </w:r>
      <m:oMath>
        <m:sSup>
          <m:sSupPr>
            <m:ctrlPr>
              <w:rPr>
                <w:rFonts w:ascii="Cambria Math" w:hAnsi="Cambria Math"/>
                <w:i/>
                <w:color w:val="000000" w:themeColor="text1"/>
                <w:spacing w:val="-1"/>
                <w:sz w:val="20"/>
                <w:szCs w:val="20"/>
              </w:rPr>
            </m:ctrlPr>
          </m:sSupPr>
          <m:e>
            <m:r>
              <w:rPr>
                <w:rFonts w:ascii="Cambria Math" w:hAnsi="Cambria Math"/>
                <w:color w:val="000000" w:themeColor="text1"/>
                <w:spacing w:val="-1"/>
                <w:sz w:val="20"/>
                <w:szCs w:val="20"/>
              </w:rPr>
              <m:t>i</m:t>
            </m:r>
          </m:e>
          <m:sup>
            <m:r>
              <w:rPr>
                <w:rFonts w:ascii="Cambria Math" w:hAnsi="Cambria Math"/>
                <w:color w:val="000000" w:themeColor="text1"/>
                <w:spacing w:val="-1"/>
                <w:sz w:val="20"/>
                <w:szCs w:val="20"/>
              </w:rPr>
              <m:t>th</m:t>
            </m:r>
          </m:sup>
        </m:sSup>
      </m:oMath>
      <w:r w:rsidRPr="0050243A">
        <w:rPr>
          <w:color w:val="000000" w:themeColor="text1"/>
          <w:spacing w:val="-1"/>
          <w:sz w:val="20"/>
          <w:szCs w:val="20"/>
        </w:rPr>
        <w:t xml:space="preserve"> observations.</w:t>
      </w:r>
    </w:p>
    <w:p w14:paraId="3427629B" w14:textId="77777777" w:rsidR="00E26A69" w:rsidRDefault="00E26A69" w:rsidP="008546EF">
      <w:pPr>
        <w:shd w:val="clear" w:color="auto" w:fill="FFFFFF"/>
        <w:ind w:right="78"/>
        <w:jc w:val="both"/>
        <w:rPr>
          <w:b/>
          <w:bCs/>
          <w:color w:val="000000" w:themeColor="text1"/>
          <w:sz w:val="20"/>
          <w:szCs w:val="20"/>
        </w:rPr>
      </w:pPr>
    </w:p>
    <w:p w14:paraId="61E2B1D8" w14:textId="72409F2C" w:rsidR="00191ABF" w:rsidRDefault="00191ABF" w:rsidP="008546EF">
      <w:pPr>
        <w:shd w:val="clear" w:color="auto" w:fill="FFFFFF"/>
        <w:ind w:right="78"/>
        <w:jc w:val="both"/>
        <w:rPr>
          <w:b/>
          <w:bCs/>
          <w:color w:val="000000" w:themeColor="text1"/>
          <w:sz w:val="20"/>
          <w:szCs w:val="20"/>
        </w:rPr>
      </w:pPr>
      <w:r w:rsidRPr="0050243A">
        <w:rPr>
          <w:b/>
          <w:bCs/>
          <w:color w:val="000000" w:themeColor="text1"/>
          <w:sz w:val="20"/>
          <w:szCs w:val="20"/>
        </w:rPr>
        <w:lastRenderedPageBreak/>
        <w:t>Akaike Information Criterion (AIC)</w:t>
      </w:r>
    </w:p>
    <w:p w14:paraId="09AA888E" w14:textId="77777777" w:rsidR="00E26A69" w:rsidRPr="0050243A" w:rsidRDefault="00E26A69" w:rsidP="008546EF">
      <w:pPr>
        <w:shd w:val="clear" w:color="auto" w:fill="FFFFFF"/>
        <w:ind w:right="78"/>
        <w:jc w:val="both"/>
        <w:rPr>
          <w:b/>
          <w:bCs/>
          <w:color w:val="000000" w:themeColor="text1"/>
          <w:sz w:val="20"/>
          <w:szCs w:val="20"/>
        </w:rPr>
      </w:pPr>
    </w:p>
    <w:p w14:paraId="50CD8442" w14:textId="77777777" w:rsidR="00191ABF" w:rsidRDefault="00191ABF" w:rsidP="008546EF">
      <w:pPr>
        <w:shd w:val="clear" w:color="auto" w:fill="FFFFFF"/>
        <w:spacing w:line="324" w:lineRule="auto"/>
        <w:ind w:right="78"/>
        <w:jc w:val="both"/>
        <w:rPr>
          <w:color w:val="000000" w:themeColor="text1"/>
          <w:sz w:val="20"/>
          <w:szCs w:val="20"/>
        </w:rPr>
      </w:pPr>
      <w:r w:rsidRPr="0050243A">
        <w:rPr>
          <w:color w:val="000000" w:themeColor="text1"/>
          <w:sz w:val="20"/>
          <w:szCs w:val="20"/>
        </w:rPr>
        <w:t xml:space="preserve">The Akaike Information Criterion (AIC) is a statistical measure used to assess the relative quality of a model by balancing goodness of fit with model complexity </w:t>
      </w:r>
      <w:sdt>
        <w:sdtPr>
          <w:rPr>
            <w:color w:val="000000"/>
            <w:sz w:val="20"/>
            <w:szCs w:val="20"/>
          </w:rPr>
          <w:tag w:val="MENDELEY_CITATION_v3_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"/>
          <w:id w:val="262504325"/>
          <w:placeholder>
            <w:docPart w:val="AC5A1E6409AE4278BE9F727ECFB10F13"/>
          </w:placeholder>
        </w:sdtPr>
        <w:sdtContent>
          <w:r w:rsidRPr="0050243A">
            <w:rPr>
              <w:color w:val="000000"/>
              <w:sz w:val="20"/>
              <w:szCs w:val="20"/>
            </w:rPr>
            <w:t>(Kuha, 2004)</w:t>
          </w:r>
        </w:sdtContent>
      </w:sdt>
      <w:r w:rsidRPr="0050243A">
        <w:rPr>
          <w:color w:val="000000" w:themeColor="text1"/>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
        <w:gridCol w:w="6988"/>
        <w:gridCol w:w="628"/>
      </w:tblGrid>
      <w:tr w:rsidR="00191ABF" w:rsidRPr="0050243A" w14:paraId="255805FA" w14:textId="77777777" w:rsidTr="008546EF">
        <w:trPr>
          <w:trHeight w:val="20"/>
        </w:trPr>
        <w:tc>
          <w:tcPr>
            <w:tcW w:w="333" w:type="dxa"/>
            <w:vAlign w:val="center"/>
          </w:tcPr>
          <w:p w14:paraId="7757BB2E" w14:textId="77777777" w:rsidR="00191ABF" w:rsidRPr="0050243A" w:rsidRDefault="00191ABF" w:rsidP="008546EF">
            <w:pPr>
              <w:ind w:right="78"/>
              <w:jc w:val="center"/>
              <w:rPr>
                <w:rFonts w:ascii="Times New Roman" w:hAnsi="Times New Roman" w:cs="Times New Roman"/>
                <w:color w:val="000000" w:themeColor="text1"/>
                <w:sz w:val="20"/>
                <w:szCs w:val="20"/>
              </w:rPr>
            </w:pPr>
          </w:p>
        </w:tc>
        <w:tc>
          <w:tcPr>
            <w:tcW w:w="6988" w:type="dxa"/>
            <w:vAlign w:val="center"/>
          </w:tcPr>
          <w:p w14:paraId="7BB4C06E" w14:textId="77777777" w:rsidR="00191ABF" w:rsidRPr="0050243A" w:rsidRDefault="00191ABF" w:rsidP="008546EF">
            <w:pPr>
              <w:shd w:val="clear" w:color="auto" w:fill="FFFFFF"/>
              <w:ind w:right="78"/>
              <w:jc w:val="center"/>
              <w:rPr>
                <w:rFonts w:ascii="Times New Roman" w:hAnsi="Times New Roman" w:cs="Times New Roman"/>
                <w:i/>
                <w:color w:val="000000" w:themeColor="text1"/>
                <w:sz w:val="20"/>
                <w:szCs w:val="20"/>
              </w:rPr>
            </w:pPr>
            <m:oMathPara>
              <m:oMath>
                <m:r>
                  <w:rPr>
                    <w:rFonts w:ascii="Cambria Math" w:hAnsi="Cambria Math" w:cs="Times New Roman"/>
                    <w:color w:val="000000" w:themeColor="text1"/>
                    <w:sz w:val="20"/>
                    <w:szCs w:val="20"/>
                  </w:rPr>
                  <m:t>AIC=n× log</m:t>
                </m:r>
                <m:d>
                  <m:dPr>
                    <m:ctrlPr>
                      <w:rPr>
                        <w:rFonts w:ascii="Cambria Math" w:hAnsi="Cambria Math" w:cs="Times New Roman"/>
                        <w:i/>
                        <w:color w:val="000000" w:themeColor="text1"/>
                        <w:sz w:val="20"/>
                        <w:szCs w:val="20"/>
                      </w:rPr>
                    </m:ctrlPr>
                  </m:dPr>
                  <m:e>
                    <m:f>
                      <m:fPr>
                        <m:ctrlPr>
                          <w:rPr>
                            <w:rFonts w:ascii="Cambria Math" w:hAnsi="Cambria Math" w:cs="Times New Roman"/>
                            <w:i/>
                            <w:color w:val="000000" w:themeColor="text1"/>
                            <w:sz w:val="20"/>
                            <w:szCs w:val="20"/>
                          </w:rPr>
                        </m:ctrlPr>
                      </m:fPr>
                      <m:num>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S</m:t>
                            </m:r>
                          </m:e>
                          <m:sub>
                            <m:r>
                              <w:rPr>
                                <w:rFonts w:ascii="Cambria Math" w:hAnsi="Cambria Math" w:cs="Times New Roman"/>
                                <w:color w:val="000000" w:themeColor="text1"/>
                                <w:sz w:val="20"/>
                                <w:szCs w:val="20"/>
                              </w:rPr>
                              <m:t>e</m:t>
                            </m:r>
                          </m:sub>
                        </m:sSub>
                      </m:num>
                      <m:den>
                        <m:r>
                          <w:rPr>
                            <w:rFonts w:ascii="Cambria Math" w:hAnsi="Cambria Math" w:cs="Times New Roman"/>
                            <w:color w:val="000000" w:themeColor="text1"/>
                            <w:sz w:val="20"/>
                            <w:szCs w:val="20"/>
                          </w:rPr>
                          <m:t>n</m:t>
                        </m:r>
                      </m:den>
                    </m:f>
                  </m:e>
                </m:d>
                <m:r>
                  <w:rPr>
                    <w:rFonts w:ascii="Cambria Math" w:hAnsi="Cambria Math" w:cs="Times New Roman"/>
                    <w:color w:val="000000" w:themeColor="text1"/>
                    <w:sz w:val="20"/>
                    <w:szCs w:val="20"/>
                  </w:rPr>
                  <m:t>+2p.</m:t>
                </m:r>
              </m:oMath>
            </m:oMathPara>
          </w:p>
        </w:tc>
        <w:tc>
          <w:tcPr>
            <w:tcW w:w="628" w:type="dxa"/>
            <w:vAlign w:val="center"/>
          </w:tcPr>
          <w:p w14:paraId="60472B61" w14:textId="77777777" w:rsidR="00191ABF" w:rsidRPr="0050243A" w:rsidRDefault="00191ABF" w:rsidP="008546EF">
            <w:pPr>
              <w:ind w:right="78"/>
              <w:jc w:val="center"/>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(10)</w:t>
            </w:r>
          </w:p>
        </w:tc>
      </w:tr>
    </w:tbl>
    <w:p w14:paraId="127F4612" w14:textId="77777777" w:rsidR="00E26A69" w:rsidRPr="005A5301" w:rsidRDefault="00E26A69" w:rsidP="008546EF">
      <w:pPr>
        <w:shd w:val="clear" w:color="auto" w:fill="FFFFFF"/>
        <w:ind w:right="78"/>
        <w:jc w:val="both"/>
        <w:rPr>
          <w:color w:val="000000" w:themeColor="text1"/>
          <w:sz w:val="10"/>
          <w:szCs w:val="10"/>
        </w:rPr>
      </w:pPr>
    </w:p>
    <w:p w14:paraId="3CEA0437" w14:textId="755D2C74" w:rsidR="00191ABF" w:rsidRPr="0050243A" w:rsidRDefault="00191ABF" w:rsidP="008546EF">
      <w:pPr>
        <w:shd w:val="clear" w:color="auto" w:fill="FFFFFF"/>
        <w:spacing w:line="324" w:lineRule="auto"/>
        <w:ind w:right="78"/>
        <w:jc w:val="both"/>
        <w:rPr>
          <w:color w:val="000000" w:themeColor="text1"/>
          <w:sz w:val="20"/>
          <w:szCs w:val="20"/>
        </w:rPr>
      </w:pPr>
      <w:r w:rsidRPr="0050243A">
        <w:rPr>
          <w:color w:val="000000" w:themeColor="text1"/>
          <w:sz w:val="20"/>
          <w:szCs w:val="20"/>
        </w:rPr>
        <w:t xml:space="preserve">where </w:t>
      </w:r>
      <w:r w:rsidRPr="0050243A">
        <w:rPr>
          <w:i/>
          <w:color w:val="000000" w:themeColor="text1"/>
          <w:sz w:val="20"/>
          <w:szCs w:val="20"/>
        </w:rPr>
        <w:t>n</w:t>
      </w:r>
      <w:r w:rsidRPr="0050243A">
        <w:rPr>
          <w:color w:val="000000" w:themeColor="text1"/>
          <w:sz w:val="20"/>
          <w:szCs w:val="20"/>
        </w:rPr>
        <w:t xml:space="preserve"> is the total number of data points, </w:t>
      </w:r>
      <w:r w:rsidRPr="0050243A">
        <w:rPr>
          <w:i/>
          <w:color w:val="000000" w:themeColor="text1"/>
          <w:sz w:val="20"/>
          <w:szCs w:val="20"/>
        </w:rPr>
        <w:t xml:space="preserve">p </w:t>
      </w:r>
      <w:r w:rsidRPr="0050243A">
        <w:rPr>
          <w:color w:val="000000" w:themeColor="text1"/>
          <w:sz w:val="20"/>
          <w:szCs w:val="20"/>
        </w:rPr>
        <w:t xml:space="preserve">is the number of parameters, and </w:t>
      </w: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S</m:t>
            </m:r>
          </m:e>
          <m:sub>
            <m:r>
              <w:rPr>
                <w:rFonts w:ascii="Cambria Math" w:hAnsi="Cambria Math"/>
                <w:color w:val="000000" w:themeColor="text1"/>
                <w:sz w:val="20"/>
                <w:szCs w:val="20"/>
              </w:rPr>
              <m:t>e</m:t>
            </m:r>
          </m:sub>
        </m:sSub>
      </m:oMath>
      <w:r w:rsidRPr="0050243A">
        <w:rPr>
          <w:color w:val="000000" w:themeColor="text1"/>
          <w:sz w:val="20"/>
          <w:szCs w:val="20"/>
        </w:rPr>
        <w:t xml:space="preserve"> is the sum of squared errors.</w:t>
      </w:r>
    </w:p>
    <w:p w14:paraId="78B074E3" w14:textId="77777777" w:rsidR="00191ABF" w:rsidRPr="0050243A" w:rsidRDefault="00191ABF" w:rsidP="008546EF">
      <w:pPr>
        <w:shd w:val="clear" w:color="auto" w:fill="FFFFFF"/>
        <w:ind w:right="78"/>
        <w:jc w:val="both"/>
        <w:rPr>
          <w:color w:val="000000" w:themeColor="text1"/>
          <w:sz w:val="20"/>
          <w:szCs w:val="20"/>
        </w:rPr>
      </w:pPr>
    </w:p>
    <w:p w14:paraId="24813089" w14:textId="77777777" w:rsidR="00191ABF" w:rsidRDefault="00191ABF" w:rsidP="008546EF">
      <w:pPr>
        <w:shd w:val="clear" w:color="auto" w:fill="FFFFFF"/>
        <w:ind w:right="78"/>
        <w:jc w:val="both"/>
        <w:rPr>
          <w:b/>
          <w:bCs/>
          <w:color w:val="000000" w:themeColor="text1"/>
          <w:sz w:val="20"/>
          <w:szCs w:val="20"/>
        </w:rPr>
      </w:pPr>
      <w:r w:rsidRPr="0050243A">
        <w:rPr>
          <w:b/>
          <w:bCs/>
          <w:color w:val="000000" w:themeColor="text1"/>
          <w:sz w:val="20"/>
          <w:szCs w:val="20"/>
        </w:rPr>
        <w:t>Bayesian Information Criterion (BIC)</w:t>
      </w:r>
    </w:p>
    <w:p w14:paraId="7A274BA6" w14:textId="77777777" w:rsidR="00E26A69" w:rsidRPr="0050243A" w:rsidRDefault="00E26A69" w:rsidP="008546EF">
      <w:pPr>
        <w:shd w:val="clear" w:color="auto" w:fill="FFFFFF"/>
        <w:ind w:right="78"/>
        <w:jc w:val="both"/>
        <w:rPr>
          <w:b/>
          <w:bCs/>
          <w:color w:val="000000" w:themeColor="text1"/>
          <w:sz w:val="20"/>
          <w:szCs w:val="20"/>
        </w:rPr>
      </w:pPr>
    </w:p>
    <w:p w14:paraId="0B2FCC38" w14:textId="77777777" w:rsidR="00191ABF" w:rsidRPr="0050243A" w:rsidRDefault="00191ABF" w:rsidP="008546EF">
      <w:pPr>
        <w:shd w:val="clear" w:color="auto" w:fill="FFFFFF"/>
        <w:spacing w:line="324" w:lineRule="auto"/>
        <w:ind w:right="78"/>
        <w:jc w:val="both"/>
        <w:rPr>
          <w:color w:val="000000" w:themeColor="text1"/>
          <w:sz w:val="20"/>
          <w:szCs w:val="20"/>
        </w:rPr>
      </w:pPr>
      <w:r w:rsidRPr="0050243A">
        <w:rPr>
          <w:color w:val="000000" w:themeColor="text1"/>
          <w:sz w:val="20"/>
          <w:szCs w:val="20"/>
        </w:rPr>
        <w:t xml:space="preserve">Similar to AIC, the Bayesian Information Criterion (BIC) evaluates model fit while penalizing complexity </w:t>
      </w:r>
      <w:sdt>
        <w:sdtPr>
          <w:rPr>
            <w:color w:val="000000"/>
            <w:sz w:val="20"/>
            <w:szCs w:val="20"/>
          </w:rPr>
          <w:tag w:val="MENDELEY_CITATION_v3_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"/>
          <w:id w:val="2001929422"/>
          <w:placeholder>
            <w:docPart w:val="AC5A1E6409AE4278BE9F727ECFB10F13"/>
          </w:placeholder>
        </w:sdtPr>
        <w:sdtContent>
          <w:r w:rsidRPr="0050243A">
            <w:rPr>
              <w:color w:val="000000"/>
              <w:sz w:val="20"/>
              <w:szCs w:val="20"/>
            </w:rPr>
            <w:t>(Kuha, 2004)</w:t>
          </w:r>
        </w:sdtContent>
      </w:sdt>
      <w:r w:rsidRPr="0050243A">
        <w:rPr>
          <w:color w:val="000000" w:themeColor="text1"/>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
        <w:gridCol w:w="6967"/>
        <w:gridCol w:w="647"/>
      </w:tblGrid>
      <w:tr w:rsidR="00191ABF" w:rsidRPr="0050243A" w14:paraId="43F7A07D" w14:textId="77777777" w:rsidTr="002B4E8F">
        <w:trPr>
          <w:trHeight w:val="20"/>
        </w:trPr>
        <w:tc>
          <w:tcPr>
            <w:tcW w:w="355" w:type="dxa"/>
            <w:vAlign w:val="center"/>
          </w:tcPr>
          <w:p w14:paraId="43BA28A8" w14:textId="77777777" w:rsidR="00191ABF" w:rsidRPr="0050243A" w:rsidRDefault="00191ABF" w:rsidP="008546EF">
            <w:pPr>
              <w:ind w:right="78"/>
              <w:jc w:val="center"/>
              <w:rPr>
                <w:rFonts w:ascii="Times New Roman" w:hAnsi="Times New Roman" w:cs="Times New Roman"/>
                <w:color w:val="000000" w:themeColor="text1"/>
                <w:sz w:val="20"/>
                <w:szCs w:val="20"/>
              </w:rPr>
            </w:pPr>
          </w:p>
        </w:tc>
        <w:tc>
          <w:tcPr>
            <w:tcW w:w="8010" w:type="dxa"/>
            <w:vAlign w:val="center"/>
          </w:tcPr>
          <w:p w14:paraId="57B6843B" w14:textId="77777777" w:rsidR="00191ABF" w:rsidRPr="0050243A" w:rsidRDefault="00191ABF" w:rsidP="008546EF">
            <w:pPr>
              <w:shd w:val="clear" w:color="auto" w:fill="FFFFFF"/>
              <w:ind w:right="78"/>
              <w:jc w:val="center"/>
              <w:rPr>
                <w:rFonts w:ascii="Times New Roman" w:hAnsi="Times New Roman" w:cs="Times New Roman"/>
                <w:i/>
                <w:color w:val="000000" w:themeColor="text1"/>
                <w:sz w:val="20"/>
                <w:szCs w:val="20"/>
              </w:rPr>
            </w:pPr>
            <m:oMathPara>
              <m:oMath>
                <m:r>
                  <w:rPr>
                    <w:rFonts w:ascii="Cambria Math" w:hAnsi="Cambria Math" w:cs="Times New Roman"/>
                    <w:color w:val="000000" w:themeColor="text1"/>
                    <w:sz w:val="20"/>
                    <w:szCs w:val="20"/>
                  </w:rPr>
                  <m:t>BIC=n× log</m:t>
                </m:r>
                <m:d>
                  <m:dPr>
                    <m:ctrlPr>
                      <w:rPr>
                        <w:rFonts w:ascii="Cambria Math" w:hAnsi="Cambria Math" w:cs="Times New Roman"/>
                        <w:i/>
                        <w:color w:val="000000" w:themeColor="text1"/>
                        <w:sz w:val="20"/>
                        <w:szCs w:val="20"/>
                      </w:rPr>
                    </m:ctrlPr>
                  </m:dPr>
                  <m:e>
                    <m:f>
                      <m:fPr>
                        <m:ctrlPr>
                          <w:rPr>
                            <w:rFonts w:ascii="Cambria Math" w:hAnsi="Cambria Math" w:cs="Times New Roman"/>
                            <w:i/>
                            <w:color w:val="000000" w:themeColor="text1"/>
                            <w:sz w:val="20"/>
                            <w:szCs w:val="20"/>
                          </w:rPr>
                        </m:ctrlPr>
                      </m:fPr>
                      <m:num>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S</m:t>
                            </m:r>
                          </m:e>
                          <m:sub>
                            <m:r>
                              <w:rPr>
                                <w:rFonts w:ascii="Cambria Math" w:hAnsi="Cambria Math" w:cs="Times New Roman"/>
                                <w:color w:val="000000" w:themeColor="text1"/>
                                <w:sz w:val="20"/>
                                <w:szCs w:val="20"/>
                              </w:rPr>
                              <m:t>e</m:t>
                            </m:r>
                          </m:sub>
                        </m:sSub>
                      </m:num>
                      <m:den>
                        <m:r>
                          <w:rPr>
                            <w:rFonts w:ascii="Cambria Math" w:hAnsi="Cambria Math" w:cs="Times New Roman"/>
                            <w:color w:val="000000" w:themeColor="text1"/>
                            <w:sz w:val="20"/>
                            <w:szCs w:val="20"/>
                          </w:rPr>
                          <m:t>n</m:t>
                        </m:r>
                      </m:den>
                    </m:f>
                  </m:e>
                </m:d>
                <m:r>
                  <w:rPr>
                    <w:rFonts w:ascii="Cambria Math" w:hAnsi="Cambria Math" w:cs="Times New Roman"/>
                    <w:color w:val="000000" w:themeColor="text1"/>
                    <w:sz w:val="20"/>
                    <w:szCs w:val="20"/>
                  </w:rPr>
                  <m:t>+log</m:t>
                </m:r>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n</m:t>
                    </m:r>
                  </m:e>
                </m:d>
                <m:r>
                  <w:rPr>
                    <w:rFonts w:ascii="Cambria Math" w:hAnsi="Cambria Math" w:cs="Times New Roman"/>
                    <w:color w:val="000000" w:themeColor="text1"/>
                    <w:sz w:val="20"/>
                    <w:szCs w:val="20"/>
                  </w:rPr>
                  <m:t>×p.</m:t>
                </m:r>
              </m:oMath>
            </m:oMathPara>
          </w:p>
        </w:tc>
        <w:tc>
          <w:tcPr>
            <w:tcW w:w="651" w:type="dxa"/>
            <w:vAlign w:val="center"/>
          </w:tcPr>
          <w:p w14:paraId="0FFBA50D" w14:textId="77777777" w:rsidR="00191ABF" w:rsidRPr="0050243A" w:rsidRDefault="00191ABF" w:rsidP="008546EF">
            <w:pPr>
              <w:ind w:right="78"/>
              <w:jc w:val="center"/>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(11)</w:t>
            </w:r>
          </w:p>
        </w:tc>
      </w:tr>
    </w:tbl>
    <w:p w14:paraId="03569566" w14:textId="77777777" w:rsidR="00E26A69" w:rsidRDefault="00E26A69" w:rsidP="008546EF">
      <w:pPr>
        <w:shd w:val="clear" w:color="auto" w:fill="FFFFFF"/>
        <w:ind w:right="78"/>
        <w:jc w:val="both"/>
        <w:rPr>
          <w:color w:val="000000" w:themeColor="text1"/>
          <w:sz w:val="20"/>
          <w:szCs w:val="20"/>
        </w:rPr>
      </w:pPr>
    </w:p>
    <w:p w14:paraId="0DD4C12B" w14:textId="0F6A7D53" w:rsidR="00191ABF" w:rsidRPr="0050243A" w:rsidRDefault="00191ABF" w:rsidP="008546EF">
      <w:pPr>
        <w:shd w:val="clear" w:color="auto" w:fill="FFFFFF"/>
        <w:spacing w:line="324" w:lineRule="auto"/>
        <w:ind w:right="78"/>
        <w:jc w:val="both"/>
        <w:rPr>
          <w:color w:val="000000" w:themeColor="text1"/>
          <w:sz w:val="20"/>
          <w:szCs w:val="20"/>
        </w:rPr>
      </w:pPr>
      <w:r w:rsidRPr="0050243A">
        <w:rPr>
          <w:color w:val="000000" w:themeColor="text1"/>
          <w:sz w:val="20"/>
          <w:szCs w:val="20"/>
        </w:rPr>
        <w:t xml:space="preserve">where </w:t>
      </w:r>
      <w:r w:rsidRPr="0050243A">
        <w:rPr>
          <w:i/>
          <w:color w:val="000000" w:themeColor="text1"/>
          <w:sz w:val="20"/>
          <w:szCs w:val="20"/>
        </w:rPr>
        <w:t>n</w:t>
      </w:r>
      <w:r w:rsidRPr="0050243A">
        <w:rPr>
          <w:color w:val="000000" w:themeColor="text1"/>
          <w:sz w:val="20"/>
          <w:szCs w:val="20"/>
        </w:rPr>
        <w:t xml:space="preserve"> is the total number of data points, </w:t>
      </w:r>
      <w:r w:rsidRPr="0050243A">
        <w:rPr>
          <w:i/>
          <w:color w:val="000000" w:themeColor="text1"/>
          <w:sz w:val="20"/>
          <w:szCs w:val="20"/>
        </w:rPr>
        <w:t xml:space="preserve">p </w:t>
      </w:r>
      <w:r w:rsidRPr="0050243A">
        <w:rPr>
          <w:color w:val="000000" w:themeColor="text1"/>
          <w:sz w:val="20"/>
          <w:szCs w:val="20"/>
        </w:rPr>
        <w:t xml:space="preserve">is the number of parameters, and </w:t>
      </w: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S</m:t>
            </m:r>
          </m:e>
          <m:sub>
            <m:r>
              <w:rPr>
                <w:rFonts w:ascii="Cambria Math" w:hAnsi="Cambria Math"/>
                <w:color w:val="000000" w:themeColor="text1"/>
                <w:sz w:val="20"/>
                <w:szCs w:val="20"/>
              </w:rPr>
              <m:t>e</m:t>
            </m:r>
          </m:sub>
        </m:sSub>
      </m:oMath>
      <w:r w:rsidRPr="0050243A">
        <w:rPr>
          <w:color w:val="000000" w:themeColor="text1"/>
          <w:sz w:val="20"/>
          <w:szCs w:val="20"/>
        </w:rPr>
        <w:t xml:space="preserve"> is the sum of squared errors.</w:t>
      </w:r>
    </w:p>
    <w:p w14:paraId="3603355C" w14:textId="77777777" w:rsidR="00191ABF" w:rsidRPr="0050243A" w:rsidRDefault="00191ABF" w:rsidP="008546EF">
      <w:pPr>
        <w:pStyle w:val="BodyText"/>
        <w:spacing w:after="0"/>
        <w:ind w:right="78"/>
        <w:rPr>
          <w:color w:val="000000" w:themeColor="text1"/>
          <w:sz w:val="20"/>
          <w:szCs w:val="20"/>
        </w:rPr>
      </w:pPr>
    </w:p>
    <w:p w14:paraId="3422E0BE" w14:textId="77777777" w:rsidR="00191ABF" w:rsidRDefault="00191ABF" w:rsidP="008546EF">
      <w:pPr>
        <w:pStyle w:val="BodyText"/>
        <w:spacing w:after="0"/>
        <w:ind w:right="78"/>
        <w:rPr>
          <w:b/>
          <w:bCs/>
          <w:color w:val="000000" w:themeColor="text1"/>
          <w:sz w:val="20"/>
          <w:szCs w:val="20"/>
        </w:rPr>
      </w:pPr>
      <w:r w:rsidRPr="0050243A">
        <w:rPr>
          <w:b/>
          <w:bCs/>
          <w:color w:val="000000" w:themeColor="text1"/>
          <w:sz w:val="20"/>
          <w:szCs w:val="20"/>
        </w:rPr>
        <w:t>3. Result Analysis</w:t>
      </w:r>
    </w:p>
    <w:p w14:paraId="6FBA8976" w14:textId="77777777" w:rsidR="00E26A69" w:rsidRPr="0050243A" w:rsidRDefault="00E26A69" w:rsidP="008546EF">
      <w:pPr>
        <w:pStyle w:val="BodyText"/>
        <w:spacing w:after="0"/>
        <w:ind w:right="78"/>
        <w:rPr>
          <w:b/>
          <w:bCs/>
          <w:color w:val="000000" w:themeColor="text1"/>
          <w:sz w:val="20"/>
          <w:szCs w:val="20"/>
        </w:rPr>
      </w:pPr>
    </w:p>
    <w:p w14:paraId="39149617" w14:textId="77777777" w:rsidR="00191ABF" w:rsidRDefault="00191ABF" w:rsidP="008546EF">
      <w:pPr>
        <w:pStyle w:val="BodyText"/>
        <w:spacing w:after="0" w:line="324" w:lineRule="auto"/>
        <w:ind w:right="78"/>
        <w:jc w:val="both"/>
        <w:rPr>
          <w:rFonts w:eastAsiaTheme="minorHAnsi"/>
          <w:color w:val="000000" w:themeColor="text1"/>
          <w:kern w:val="2"/>
          <w:sz w:val="20"/>
          <w:szCs w:val="20"/>
        </w:rPr>
      </w:pPr>
      <w:r w:rsidRPr="00191ABF">
        <w:rPr>
          <w:rFonts w:eastAsiaTheme="minorHAnsi"/>
          <w:color w:val="000000" w:themeColor="text1"/>
          <w:kern w:val="2"/>
          <w:sz w:val="20"/>
          <w:szCs w:val="20"/>
        </w:rPr>
        <w:t>To examine the characteristics of the variables, a comprehensive exploratory data analysis (EDA) was performed, incorporating time series plots to detect trends, seasonality, and potential outliers over time. Table 1 presents the descriptive statistics for the variables included in this study.</w:t>
      </w:r>
    </w:p>
    <w:p w14:paraId="2803A828" w14:textId="77777777" w:rsidR="00E26A69" w:rsidRPr="00191ABF" w:rsidRDefault="00E26A69" w:rsidP="008546EF">
      <w:pPr>
        <w:pStyle w:val="BodyText"/>
        <w:spacing w:after="0"/>
        <w:ind w:right="78"/>
        <w:jc w:val="both"/>
        <w:rPr>
          <w:rFonts w:eastAsiaTheme="minorHAnsi"/>
          <w:color w:val="000000" w:themeColor="text1"/>
          <w:kern w:val="2"/>
          <w:sz w:val="20"/>
          <w:szCs w:val="20"/>
        </w:rPr>
      </w:pPr>
    </w:p>
    <w:p w14:paraId="65CECB9E" w14:textId="662FB228" w:rsidR="00191ABF" w:rsidRDefault="00191ABF" w:rsidP="008546EF">
      <w:pPr>
        <w:pStyle w:val="BodyText"/>
        <w:spacing w:after="0"/>
        <w:ind w:right="78"/>
        <w:rPr>
          <w:color w:val="000000" w:themeColor="text1"/>
          <w:spacing w:val="-2"/>
          <w:sz w:val="20"/>
          <w:szCs w:val="20"/>
        </w:rPr>
      </w:pPr>
      <w:r w:rsidRPr="0050243A">
        <w:rPr>
          <w:b/>
          <w:bCs/>
          <w:color w:val="000000" w:themeColor="text1"/>
          <w:sz w:val="20"/>
          <w:szCs w:val="20"/>
        </w:rPr>
        <w:t>Table</w:t>
      </w:r>
      <w:r w:rsidRPr="0050243A">
        <w:rPr>
          <w:b/>
          <w:bCs/>
          <w:color w:val="000000" w:themeColor="text1"/>
          <w:spacing w:val="-1"/>
          <w:sz w:val="20"/>
          <w:szCs w:val="20"/>
        </w:rPr>
        <w:t xml:space="preserve"> </w:t>
      </w:r>
      <w:r w:rsidRPr="0050243A">
        <w:rPr>
          <w:b/>
          <w:bCs/>
          <w:color w:val="000000" w:themeColor="text1"/>
          <w:sz w:val="20"/>
          <w:szCs w:val="20"/>
        </w:rPr>
        <w:t>1</w:t>
      </w:r>
      <w:r w:rsidR="00E26A69">
        <w:rPr>
          <w:b/>
          <w:bCs/>
          <w:color w:val="000000" w:themeColor="text1"/>
          <w:sz w:val="20"/>
          <w:szCs w:val="20"/>
        </w:rPr>
        <w:t>.</w:t>
      </w:r>
      <w:r w:rsidRPr="0050243A">
        <w:rPr>
          <w:color w:val="000000" w:themeColor="text1"/>
          <w:spacing w:val="-1"/>
          <w:sz w:val="20"/>
          <w:szCs w:val="20"/>
        </w:rPr>
        <w:t xml:space="preserve"> </w:t>
      </w:r>
      <w:r w:rsidRPr="0050243A">
        <w:rPr>
          <w:color w:val="000000" w:themeColor="text1"/>
          <w:sz w:val="20"/>
          <w:szCs w:val="20"/>
        </w:rPr>
        <w:t>Summary</w:t>
      </w:r>
      <w:r w:rsidRPr="0050243A">
        <w:rPr>
          <w:color w:val="000000" w:themeColor="text1"/>
          <w:spacing w:val="-5"/>
          <w:sz w:val="20"/>
          <w:szCs w:val="20"/>
        </w:rPr>
        <w:t xml:space="preserve"> </w:t>
      </w:r>
      <w:r w:rsidRPr="0050243A">
        <w:rPr>
          <w:color w:val="000000" w:themeColor="text1"/>
          <w:sz w:val="20"/>
          <w:szCs w:val="20"/>
        </w:rPr>
        <w:t>Statistics</w:t>
      </w:r>
      <w:r w:rsidRPr="0050243A">
        <w:rPr>
          <w:color w:val="000000" w:themeColor="text1"/>
          <w:spacing w:val="-1"/>
          <w:sz w:val="20"/>
          <w:szCs w:val="20"/>
        </w:rPr>
        <w:t xml:space="preserve"> </w:t>
      </w:r>
      <w:r w:rsidRPr="0050243A">
        <w:rPr>
          <w:color w:val="000000" w:themeColor="text1"/>
          <w:sz w:val="20"/>
          <w:szCs w:val="20"/>
        </w:rPr>
        <w:t>of</w:t>
      </w:r>
      <w:r w:rsidRPr="0050243A">
        <w:rPr>
          <w:color w:val="000000" w:themeColor="text1"/>
          <w:spacing w:val="-1"/>
          <w:sz w:val="20"/>
          <w:szCs w:val="20"/>
        </w:rPr>
        <w:t xml:space="preserve"> </w:t>
      </w:r>
      <w:r w:rsidRPr="0050243A">
        <w:rPr>
          <w:color w:val="000000" w:themeColor="text1"/>
          <w:sz w:val="20"/>
          <w:szCs w:val="20"/>
        </w:rPr>
        <w:t xml:space="preserve">the Selected </w:t>
      </w:r>
      <w:r w:rsidRPr="0050243A">
        <w:rPr>
          <w:color w:val="000000" w:themeColor="text1"/>
          <w:spacing w:val="-2"/>
          <w:sz w:val="20"/>
          <w:szCs w:val="20"/>
        </w:rPr>
        <w:t>Variables</w:t>
      </w:r>
    </w:p>
    <w:p w14:paraId="5BB12062" w14:textId="77777777" w:rsidR="00E26A69" w:rsidRPr="0050243A" w:rsidRDefault="00E26A69" w:rsidP="008546EF">
      <w:pPr>
        <w:pStyle w:val="BodyText"/>
        <w:spacing w:after="0"/>
        <w:ind w:right="78"/>
        <w:rPr>
          <w:color w:val="000000" w:themeColor="text1"/>
          <w:sz w:val="20"/>
          <w:szCs w:val="20"/>
        </w:rPr>
      </w:pPr>
    </w:p>
    <w:tbl>
      <w:tblPr>
        <w:tblW w:w="0" w:type="auto"/>
        <w:tblInd w:w="10"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76"/>
        <w:gridCol w:w="893"/>
        <w:gridCol w:w="719"/>
        <w:gridCol w:w="906"/>
        <w:gridCol w:w="706"/>
        <w:gridCol w:w="719"/>
      </w:tblGrid>
      <w:tr w:rsidR="00191ABF" w:rsidRPr="0050243A" w14:paraId="34C81711" w14:textId="77777777" w:rsidTr="008546EF">
        <w:trPr>
          <w:trHeight w:val="278"/>
        </w:trPr>
        <w:tc>
          <w:tcPr>
            <w:tcW w:w="3676" w:type="dxa"/>
          </w:tcPr>
          <w:p w14:paraId="49664F61"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Name</w:t>
            </w:r>
            <w:r w:rsidRPr="0050243A">
              <w:rPr>
                <w:b/>
                <w:bCs/>
                <w:color w:val="000000" w:themeColor="text1"/>
                <w:spacing w:val="-2"/>
                <w:sz w:val="20"/>
                <w:szCs w:val="20"/>
              </w:rPr>
              <w:t xml:space="preserve"> </w:t>
            </w:r>
            <w:r w:rsidRPr="0050243A">
              <w:rPr>
                <w:b/>
                <w:bCs/>
                <w:color w:val="000000" w:themeColor="text1"/>
                <w:sz w:val="20"/>
                <w:szCs w:val="20"/>
              </w:rPr>
              <w:t>of the</w:t>
            </w:r>
            <w:r w:rsidRPr="0050243A">
              <w:rPr>
                <w:b/>
                <w:bCs/>
                <w:color w:val="000000" w:themeColor="text1"/>
                <w:spacing w:val="-1"/>
                <w:sz w:val="20"/>
                <w:szCs w:val="20"/>
              </w:rPr>
              <w:t xml:space="preserve"> </w:t>
            </w:r>
            <w:r w:rsidRPr="0050243A">
              <w:rPr>
                <w:b/>
                <w:bCs/>
                <w:color w:val="000000" w:themeColor="text1"/>
                <w:spacing w:val="-2"/>
                <w:sz w:val="20"/>
                <w:szCs w:val="20"/>
              </w:rPr>
              <w:t>Variable</w:t>
            </w:r>
          </w:p>
        </w:tc>
        <w:tc>
          <w:tcPr>
            <w:tcW w:w="893" w:type="dxa"/>
          </w:tcPr>
          <w:p w14:paraId="7500140D"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pacing w:val="-4"/>
                <w:sz w:val="20"/>
                <w:szCs w:val="20"/>
              </w:rPr>
              <w:t>Mean</w:t>
            </w:r>
          </w:p>
        </w:tc>
        <w:tc>
          <w:tcPr>
            <w:tcW w:w="719" w:type="dxa"/>
          </w:tcPr>
          <w:p w14:paraId="1F0E326E"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pacing w:val="-2"/>
                <w:sz w:val="20"/>
                <w:szCs w:val="20"/>
              </w:rPr>
              <w:t>Range</w:t>
            </w:r>
          </w:p>
        </w:tc>
        <w:tc>
          <w:tcPr>
            <w:tcW w:w="906" w:type="dxa"/>
          </w:tcPr>
          <w:p w14:paraId="7EB17B9A"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 xml:space="preserve">Std. </w:t>
            </w:r>
            <w:r w:rsidRPr="0050243A">
              <w:rPr>
                <w:b/>
                <w:bCs/>
                <w:color w:val="000000" w:themeColor="text1"/>
                <w:spacing w:val="-5"/>
                <w:sz w:val="20"/>
                <w:szCs w:val="20"/>
              </w:rPr>
              <w:t>Dev</w:t>
            </w:r>
          </w:p>
        </w:tc>
        <w:tc>
          <w:tcPr>
            <w:tcW w:w="706" w:type="dxa"/>
          </w:tcPr>
          <w:p w14:paraId="79DFB462"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pacing w:val="-5"/>
                <w:sz w:val="20"/>
                <w:szCs w:val="20"/>
              </w:rPr>
              <w:t>Min</w:t>
            </w:r>
          </w:p>
        </w:tc>
        <w:tc>
          <w:tcPr>
            <w:tcW w:w="719" w:type="dxa"/>
          </w:tcPr>
          <w:p w14:paraId="1618141B"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pacing w:val="-5"/>
                <w:sz w:val="20"/>
                <w:szCs w:val="20"/>
              </w:rPr>
              <w:t>Max</w:t>
            </w:r>
          </w:p>
        </w:tc>
      </w:tr>
      <w:tr w:rsidR="00191ABF" w:rsidRPr="0050243A" w14:paraId="2BAA0469" w14:textId="77777777" w:rsidTr="008546EF">
        <w:trPr>
          <w:trHeight w:val="278"/>
        </w:trPr>
        <w:tc>
          <w:tcPr>
            <w:tcW w:w="3676" w:type="dxa"/>
            <w:shd w:val="clear" w:color="auto" w:fill="F1F1F1"/>
          </w:tcPr>
          <w:p w14:paraId="7B29B70C" w14:textId="77777777" w:rsidR="00191ABF" w:rsidRPr="0050243A" w:rsidRDefault="00191ABF" w:rsidP="008546EF">
            <w:pPr>
              <w:pStyle w:val="TableParagraph"/>
              <w:ind w:right="78"/>
              <w:rPr>
                <w:color w:val="000000" w:themeColor="text1"/>
                <w:sz w:val="20"/>
                <w:szCs w:val="20"/>
              </w:rPr>
            </w:pPr>
            <w:r w:rsidRPr="0050243A">
              <w:rPr>
                <w:color w:val="000000" w:themeColor="text1"/>
                <w:sz w:val="20"/>
                <w:szCs w:val="20"/>
              </w:rPr>
              <w:t>Remittances,</w:t>
            </w:r>
            <w:r w:rsidRPr="0050243A">
              <w:rPr>
                <w:color w:val="000000" w:themeColor="text1"/>
                <w:spacing w:val="-2"/>
                <w:sz w:val="20"/>
                <w:szCs w:val="20"/>
              </w:rPr>
              <w:t xml:space="preserve"> </w:t>
            </w:r>
            <w:r w:rsidRPr="0050243A">
              <w:rPr>
                <w:color w:val="000000" w:themeColor="text1"/>
                <w:sz w:val="20"/>
                <w:szCs w:val="20"/>
              </w:rPr>
              <w:t>received</w:t>
            </w:r>
            <w:r w:rsidRPr="0050243A">
              <w:rPr>
                <w:color w:val="000000" w:themeColor="text1"/>
                <w:spacing w:val="-2"/>
                <w:sz w:val="20"/>
                <w:szCs w:val="20"/>
              </w:rPr>
              <w:t xml:space="preserve"> </w:t>
            </w:r>
            <w:r w:rsidRPr="0050243A">
              <w:rPr>
                <w:color w:val="000000" w:themeColor="text1"/>
                <w:sz w:val="20"/>
                <w:szCs w:val="20"/>
              </w:rPr>
              <w:t>(current</w:t>
            </w:r>
            <w:r w:rsidRPr="0050243A">
              <w:rPr>
                <w:color w:val="000000" w:themeColor="text1"/>
                <w:spacing w:val="-1"/>
                <w:sz w:val="20"/>
                <w:szCs w:val="20"/>
              </w:rPr>
              <w:t xml:space="preserve"> </w:t>
            </w:r>
            <w:r w:rsidRPr="0050243A">
              <w:rPr>
                <w:color w:val="000000" w:themeColor="text1"/>
                <w:sz w:val="20"/>
                <w:szCs w:val="20"/>
              </w:rPr>
              <w:t>US$ in</w:t>
            </w:r>
            <w:r w:rsidRPr="0050243A">
              <w:rPr>
                <w:color w:val="000000" w:themeColor="text1"/>
                <w:spacing w:val="-1"/>
                <w:sz w:val="20"/>
                <w:szCs w:val="20"/>
              </w:rPr>
              <w:t xml:space="preserve"> </w:t>
            </w:r>
            <w:r w:rsidRPr="0050243A">
              <w:rPr>
                <w:color w:val="000000" w:themeColor="text1"/>
                <w:spacing w:val="-2"/>
                <w:sz w:val="20"/>
                <w:szCs w:val="20"/>
              </w:rPr>
              <w:t>Billion)</w:t>
            </w:r>
          </w:p>
        </w:tc>
        <w:tc>
          <w:tcPr>
            <w:tcW w:w="893" w:type="dxa"/>
            <w:shd w:val="clear" w:color="auto" w:fill="F1F1F1"/>
          </w:tcPr>
          <w:p w14:paraId="0A603954"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10.2</w:t>
            </w:r>
          </w:p>
        </w:tc>
        <w:tc>
          <w:tcPr>
            <w:tcW w:w="719" w:type="dxa"/>
            <w:shd w:val="clear" w:color="auto" w:fill="F1F1F1"/>
          </w:tcPr>
          <w:p w14:paraId="288409A2"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20.86</w:t>
            </w:r>
          </w:p>
        </w:tc>
        <w:tc>
          <w:tcPr>
            <w:tcW w:w="906" w:type="dxa"/>
            <w:shd w:val="clear" w:color="auto" w:fill="F1F1F1"/>
          </w:tcPr>
          <w:p w14:paraId="6C725594"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7.19</w:t>
            </w:r>
          </w:p>
        </w:tc>
        <w:tc>
          <w:tcPr>
            <w:tcW w:w="706" w:type="dxa"/>
            <w:shd w:val="clear" w:color="auto" w:fill="F1F1F1"/>
          </w:tcPr>
          <w:p w14:paraId="794A04C6"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1.34</w:t>
            </w:r>
          </w:p>
        </w:tc>
        <w:tc>
          <w:tcPr>
            <w:tcW w:w="719" w:type="dxa"/>
            <w:shd w:val="clear" w:color="auto" w:fill="F1F1F1"/>
          </w:tcPr>
          <w:p w14:paraId="27A6236E"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22.21</w:t>
            </w:r>
          </w:p>
        </w:tc>
      </w:tr>
      <w:tr w:rsidR="00191ABF" w:rsidRPr="0050243A" w14:paraId="4D7AECD6" w14:textId="77777777" w:rsidTr="008546EF">
        <w:trPr>
          <w:trHeight w:val="278"/>
        </w:trPr>
        <w:tc>
          <w:tcPr>
            <w:tcW w:w="3676" w:type="dxa"/>
          </w:tcPr>
          <w:p w14:paraId="3477F4A1" w14:textId="77777777" w:rsidR="00191ABF" w:rsidRPr="0050243A" w:rsidRDefault="00191ABF" w:rsidP="008546EF">
            <w:pPr>
              <w:pStyle w:val="TableParagraph"/>
              <w:ind w:right="78"/>
              <w:rPr>
                <w:color w:val="000000" w:themeColor="text1"/>
                <w:sz w:val="20"/>
                <w:szCs w:val="20"/>
              </w:rPr>
            </w:pPr>
            <w:r w:rsidRPr="0050243A">
              <w:rPr>
                <w:color w:val="000000" w:themeColor="text1"/>
                <w:sz w:val="20"/>
                <w:szCs w:val="20"/>
              </w:rPr>
              <w:t>GDP</w:t>
            </w:r>
            <w:r w:rsidRPr="0050243A">
              <w:rPr>
                <w:color w:val="000000" w:themeColor="text1"/>
                <w:spacing w:val="-11"/>
                <w:sz w:val="20"/>
                <w:szCs w:val="20"/>
              </w:rPr>
              <w:t xml:space="preserve"> </w:t>
            </w:r>
            <w:r w:rsidRPr="0050243A">
              <w:rPr>
                <w:color w:val="000000" w:themeColor="text1"/>
                <w:sz w:val="20"/>
                <w:szCs w:val="20"/>
              </w:rPr>
              <w:t>per</w:t>
            </w:r>
            <w:r w:rsidRPr="0050243A">
              <w:rPr>
                <w:color w:val="000000" w:themeColor="text1"/>
                <w:spacing w:val="-2"/>
                <w:sz w:val="20"/>
                <w:szCs w:val="20"/>
              </w:rPr>
              <w:t xml:space="preserve"> </w:t>
            </w:r>
            <w:r w:rsidRPr="0050243A">
              <w:rPr>
                <w:color w:val="000000" w:themeColor="text1"/>
                <w:sz w:val="20"/>
                <w:szCs w:val="20"/>
              </w:rPr>
              <w:t>capita</w:t>
            </w:r>
            <w:r w:rsidRPr="0050243A">
              <w:rPr>
                <w:color w:val="000000" w:themeColor="text1"/>
                <w:spacing w:val="-3"/>
                <w:sz w:val="20"/>
                <w:szCs w:val="20"/>
              </w:rPr>
              <w:t xml:space="preserve"> </w:t>
            </w:r>
            <w:r w:rsidRPr="0050243A">
              <w:rPr>
                <w:color w:val="000000" w:themeColor="text1"/>
                <w:sz w:val="20"/>
                <w:szCs w:val="20"/>
              </w:rPr>
              <w:t>(current</w:t>
            </w:r>
            <w:r w:rsidRPr="0050243A">
              <w:rPr>
                <w:color w:val="000000" w:themeColor="text1"/>
                <w:spacing w:val="1"/>
                <w:sz w:val="20"/>
                <w:szCs w:val="20"/>
              </w:rPr>
              <w:t xml:space="preserve"> </w:t>
            </w:r>
            <w:r w:rsidRPr="0050243A">
              <w:rPr>
                <w:color w:val="000000" w:themeColor="text1"/>
                <w:spacing w:val="-4"/>
                <w:sz w:val="20"/>
                <w:szCs w:val="20"/>
              </w:rPr>
              <w:t>US$)</w:t>
            </w:r>
          </w:p>
        </w:tc>
        <w:tc>
          <w:tcPr>
            <w:tcW w:w="893" w:type="dxa"/>
          </w:tcPr>
          <w:p w14:paraId="78F09F13"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1059.98</w:t>
            </w:r>
          </w:p>
        </w:tc>
        <w:tc>
          <w:tcPr>
            <w:tcW w:w="719" w:type="dxa"/>
          </w:tcPr>
          <w:p w14:paraId="42138CE5"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2344.57</w:t>
            </w:r>
          </w:p>
        </w:tc>
        <w:tc>
          <w:tcPr>
            <w:tcW w:w="906" w:type="dxa"/>
          </w:tcPr>
          <w:p w14:paraId="031103BD"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786.79</w:t>
            </w:r>
          </w:p>
        </w:tc>
        <w:tc>
          <w:tcPr>
            <w:tcW w:w="706" w:type="dxa"/>
          </w:tcPr>
          <w:p w14:paraId="3EC91545"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371.92</w:t>
            </w:r>
          </w:p>
        </w:tc>
        <w:tc>
          <w:tcPr>
            <w:tcW w:w="719" w:type="dxa"/>
          </w:tcPr>
          <w:p w14:paraId="4341C6F8"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2716.49</w:t>
            </w:r>
          </w:p>
        </w:tc>
      </w:tr>
      <w:tr w:rsidR="00191ABF" w:rsidRPr="0050243A" w14:paraId="7AA5AF9B" w14:textId="77777777" w:rsidTr="008546EF">
        <w:trPr>
          <w:trHeight w:val="278"/>
        </w:trPr>
        <w:tc>
          <w:tcPr>
            <w:tcW w:w="3676" w:type="dxa"/>
            <w:shd w:val="clear" w:color="auto" w:fill="F1F1F1"/>
          </w:tcPr>
          <w:p w14:paraId="7FDCB849" w14:textId="77777777" w:rsidR="00191ABF" w:rsidRPr="0050243A" w:rsidRDefault="00191ABF" w:rsidP="008546EF">
            <w:pPr>
              <w:pStyle w:val="TableParagraph"/>
              <w:ind w:right="78"/>
              <w:rPr>
                <w:color w:val="000000" w:themeColor="text1"/>
                <w:sz w:val="20"/>
                <w:szCs w:val="20"/>
              </w:rPr>
            </w:pPr>
            <w:r w:rsidRPr="0050243A">
              <w:rPr>
                <w:color w:val="000000" w:themeColor="text1"/>
                <w:sz w:val="20"/>
                <w:szCs w:val="20"/>
              </w:rPr>
              <w:t>Unemployment,</w:t>
            </w:r>
            <w:r w:rsidRPr="0050243A">
              <w:rPr>
                <w:color w:val="000000" w:themeColor="text1"/>
                <w:spacing w:val="-1"/>
                <w:sz w:val="20"/>
                <w:szCs w:val="20"/>
              </w:rPr>
              <w:t xml:space="preserve"> </w:t>
            </w:r>
            <w:r w:rsidRPr="0050243A">
              <w:rPr>
                <w:color w:val="000000" w:themeColor="text1"/>
                <w:sz w:val="20"/>
                <w:szCs w:val="20"/>
              </w:rPr>
              <w:t>total</w:t>
            </w:r>
            <w:r w:rsidRPr="0050243A">
              <w:rPr>
                <w:color w:val="000000" w:themeColor="text1"/>
                <w:spacing w:val="-1"/>
                <w:sz w:val="20"/>
                <w:szCs w:val="20"/>
              </w:rPr>
              <w:t xml:space="preserve"> </w:t>
            </w:r>
            <w:r w:rsidRPr="0050243A">
              <w:rPr>
                <w:color w:val="000000" w:themeColor="text1"/>
                <w:sz w:val="20"/>
                <w:szCs w:val="20"/>
              </w:rPr>
              <w:t>(% of</w:t>
            </w:r>
            <w:r w:rsidRPr="0050243A">
              <w:rPr>
                <w:color w:val="000000" w:themeColor="text1"/>
                <w:spacing w:val="-1"/>
                <w:sz w:val="20"/>
                <w:szCs w:val="20"/>
              </w:rPr>
              <w:t xml:space="preserve"> </w:t>
            </w:r>
            <w:r w:rsidRPr="0050243A">
              <w:rPr>
                <w:color w:val="000000" w:themeColor="text1"/>
                <w:sz w:val="20"/>
                <w:szCs w:val="20"/>
              </w:rPr>
              <w:t>total</w:t>
            </w:r>
            <w:r w:rsidRPr="0050243A">
              <w:rPr>
                <w:color w:val="000000" w:themeColor="text1"/>
                <w:spacing w:val="-1"/>
                <w:sz w:val="20"/>
                <w:szCs w:val="20"/>
              </w:rPr>
              <w:t xml:space="preserve"> </w:t>
            </w:r>
            <w:r w:rsidRPr="0050243A">
              <w:rPr>
                <w:color w:val="000000" w:themeColor="text1"/>
                <w:sz w:val="20"/>
                <w:szCs w:val="20"/>
              </w:rPr>
              <w:t>labor</w:t>
            </w:r>
            <w:r w:rsidRPr="0050243A">
              <w:rPr>
                <w:color w:val="000000" w:themeColor="text1"/>
                <w:spacing w:val="-1"/>
                <w:sz w:val="20"/>
                <w:szCs w:val="20"/>
              </w:rPr>
              <w:t xml:space="preserve"> </w:t>
            </w:r>
            <w:r w:rsidRPr="0050243A">
              <w:rPr>
                <w:color w:val="000000" w:themeColor="text1"/>
                <w:spacing w:val="-2"/>
                <w:sz w:val="20"/>
                <w:szCs w:val="20"/>
              </w:rPr>
              <w:t>force)</w:t>
            </w:r>
          </w:p>
        </w:tc>
        <w:tc>
          <w:tcPr>
            <w:tcW w:w="893" w:type="dxa"/>
            <w:shd w:val="clear" w:color="auto" w:fill="F1F1F1"/>
          </w:tcPr>
          <w:p w14:paraId="5196D3F6"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4.07</w:t>
            </w:r>
          </w:p>
        </w:tc>
        <w:tc>
          <w:tcPr>
            <w:tcW w:w="719" w:type="dxa"/>
            <w:shd w:val="clear" w:color="auto" w:fill="F1F1F1"/>
          </w:tcPr>
          <w:p w14:paraId="224E5F8F"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2.93</w:t>
            </w:r>
          </w:p>
        </w:tc>
        <w:tc>
          <w:tcPr>
            <w:tcW w:w="906" w:type="dxa"/>
            <w:shd w:val="clear" w:color="auto" w:fill="F1F1F1"/>
          </w:tcPr>
          <w:p w14:paraId="33B4A699"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0.72</w:t>
            </w:r>
          </w:p>
        </w:tc>
        <w:tc>
          <w:tcPr>
            <w:tcW w:w="706" w:type="dxa"/>
            <w:shd w:val="clear" w:color="auto" w:fill="F1F1F1"/>
          </w:tcPr>
          <w:p w14:paraId="34681785"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2.51</w:t>
            </w:r>
          </w:p>
        </w:tc>
        <w:tc>
          <w:tcPr>
            <w:tcW w:w="719" w:type="dxa"/>
            <w:shd w:val="clear" w:color="auto" w:fill="F1F1F1"/>
          </w:tcPr>
          <w:p w14:paraId="185B1E4A"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5.44</w:t>
            </w:r>
          </w:p>
        </w:tc>
      </w:tr>
      <w:tr w:rsidR="00191ABF" w:rsidRPr="0050243A" w14:paraId="06575EBA" w14:textId="77777777" w:rsidTr="008546EF">
        <w:trPr>
          <w:trHeight w:val="280"/>
        </w:trPr>
        <w:tc>
          <w:tcPr>
            <w:tcW w:w="3676" w:type="dxa"/>
          </w:tcPr>
          <w:p w14:paraId="414ECC63" w14:textId="77777777" w:rsidR="00191ABF" w:rsidRPr="0050243A" w:rsidRDefault="00191ABF" w:rsidP="008546EF">
            <w:pPr>
              <w:pStyle w:val="TableParagraph"/>
              <w:ind w:right="78"/>
              <w:rPr>
                <w:color w:val="000000" w:themeColor="text1"/>
                <w:sz w:val="20"/>
                <w:szCs w:val="20"/>
              </w:rPr>
            </w:pPr>
            <w:r w:rsidRPr="0050243A">
              <w:rPr>
                <w:color w:val="000000" w:themeColor="text1"/>
                <w:sz w:val="20"/>
                <w:szCs w:val="20"/>
              </w:rPr>
              <w:t>Official</w:t>
            </w:r>
            <w:r w:rsidRPr="0050243A">
              <w:rPr>
                <w:color w:val="000000" w:themeColor="text1"/>
                <w:spacing w:val="-1"/>
                <w:sz w:val="20"/>
                <w:szCs w:val="20"/>
              </w:rPr>
              <w:t xml:space="preserve"> </w:t>
            </w:r>
            <w:r w:rsidRPr="0050243A">
              <w:rPr>
                <w:color w:val="000000" w:themeColor="text1"/>
                <w:sz w:val="20"/>
                <w:szCs w:val="20"/>
              </w:rPr>
              <w:t>exchange</w:t>
            </w:r>
            <w:r w:rsidRPr="0050243A">
              <w:rPr>
                <w:color w:val="000000" w:themeColor="text1"/>
                <w:spacing w:val="-3"/>
                <w:sz w:val="20"/>
                <w:szCs w:val="20"/>
              </w:rPr>
              <w:t xml:space="preserve"> </w:t>
            </w:r>
            <w:r w:rsidRPr="0050243A">
              <w:rPr>
                <w:color w:val="000000" w:themeColor="text1"/>
                <w:sz w:val="20"/>
                <w:szCs w:val="20"/>
              </w:rPr>
              <w:t>rate</w:t>
            </w:r>
            <w:r w:rsidRPr="0050243A">
              <w:rPr>
                <w:color w:val="000000" w:themeColor="text1"/>
                <w:spacing w:val="-3"/>
                <w:sz w:val="20"/>
                <w:szCs w:val="20"/>
              </w:rPr>
              <w:t xml:space="preserve"> </w:t>
            </w:r>
            <w:r w:rsidRPr="0050243A">
              <w:rPr>
                <w:color w:val="000000" w:themeColor="text1"/>
                <w:sz w:val="20"/>
                <w:szCs w:val="20"/>
              </w:rPr>
              <w:t>(LCU</w:t>
            </w:r>
            <w:r w:rsidRPr="0050243A">
              <w:rPr>
                <w:color w:val="000000" w:themeColor="text1"/>
                <w:spacing w:val="-3"/>
                <w:sz w:val="20"/>
                <w:szCs w:val="20"/>
              </w:rPr>
              <w:t xml:space="preserve"> </w:t>
            </w:r>
            <w:r w:rsidRPr="0050243A">
              <w:rPr>
                <w:color w:val="000000" w:themeColor="text1"/>
                <w:sz w:val="20"/>
                <w:szCs w:val="20"/>
              </w:rPr>
              <w:t>per</w:t>
            </w:r>
            <w:r w:rsidRPr="0050243A">
              <w:rPr>
                <w:color w:val="000000" w:themeColor="text1"/>
                <w:spacing w:val="-2"/>
                <w:sz w:val="20"/>
                <w:szCs w:val="20"/>
              </w:rPr>
              <w:t xml:space="preserve"> </w:t>
            </w:r>
            <w:r w:rsidRPr="0050243A">
              <w:rPr>
                <w:color w:val="000000" w:themeColor="text1"/>
                <w:spacing w:val="-4"/>
                <w:sz w:val="20"/>
                <w:szCs w:val="20"/>
              </w:rPr>
              <w:t>US$)</w:t>
            </w:r>
          </w:p>
        </w:tc>
        <w:tc>
          <w:tcPr>
            <w:tcW w:w="893" w:type="dxa"/>
          </w:tcPr>
          <w:p w14:paraId="0703CE35"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69.97</w:t>
            </w:r>
          </w:p>
        </w:tc>
        <w:tc>
          <w:tcPr>
            <w:tcW w:w="719" w:type="dxa"/>
          </w:tcPr>
          <w:p w14:paraId="380A6B5F"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64.52</w:t>
            </w:r>
          </w:p>
        </w:tc>
        <w:tc>
          <w:tcPr>
            <w:tcW w:w="906" w:type="dxa"/>
          </w:tcPr>
          <w:p w14:paraId="02C5E41F"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15.59</w:t>
            </w:r>
          </w:p>
        </w:tc>
        <w:tc>
          <w:tcPr>
            <w:tcW w:w="706" w:type="dxa"/>
          </w:tcPr>
          <w:p w14:paraId="7CCD2D1C"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41.79</w:t>
            </w:r>
          </w:p>
        </w:tc>
        <w:tc>
          <w:tcPr>
            <w:tcW w:w="719" w:type="dxa"/>
          </w:tcPr>
          <w:p w14:paraId="66487FB0"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106.31</w:t>
            </w:r>
          </w:p>
        </w:tc>
      </w:tr>
      <w:tr w:rsidR="00191ABF" w:rsidRPr="0050243A" w14:paraId="36D3C2BB" w14:textId="77777777" w:rsidTr="008546EF">
        <w:trPr>
          <w:trHeight w:val="278"/>
        </w:trPr>
        <w:tc>
          <w:tcPr>
            <w:tcW w:w="3676" w:type="dxa"/>
            <w:shd w:val="clear" w:color="auto" w:fill="F1F1F1"/>
          </w:tcPr>
          <w:p w14:paraId="60D9CC9A" w14:textId="77777777" w:rsidR="00191ABF" w:rsidRPr="0050243A" w:rsidRDefault="00191ABF" w:rsidP="008546EF">
            <w:pPr>
              <w:pStyle w:val="TableParagraph"/>
              <w:ind w:right="78"/>
              <w:rPr>
                <w:color w:val="000000" w:themeColor="text1"/>
                <w:sz w:val="20"/>
                <w:szCs w:val="20"/>
              </w:rPr>
            </w:pPr>
            <w:r w:rsidRPr="0050243A">
              <w:rPr>
                <w:color w:val="000000" w:themeColor="text1"/>
                <w:sz w:val="20"/>
                <w:szCs w:val="20"/>
              </w:rPr>
              <w:t>Inflation,</w:t>
            </w:r>
            <w:r w:rsidRPr="0050243A">
              <w:rPr>
                <w:color w:val="000000" w:themeColor="text1"/>
                <w:spacing w:val="-5"/>
                <w:sz w:val="20"/>
                <w:szCs w:val="20"/>
              </w:rPr>
              <w:t xml:space="preserve"> </w:t>
            </w:r>
            <w:r w:rsidRPr="0050243A">
              <w:rPr>
                <w:color w:val="000000" w:themeColor="text1"/>
                <w:sz w:val="20"/>
                <w:szCs w:val="20"/>
              </w:rPr>
              <w:t>GDP</w:t>
            </w:r>
            <w:r w:rsidRPr="0050243A">
              <w:rPr>
                <w:color w:val="000000" w:themeColor="text1"/>
                <w:spacing w:val="-10"/>
                <w:sz w:val="20"/>
                <w:szCs w:val="20"/>
              </w:rPr>
              <w:t xml:space="preserve"> </w:t>
            </w:r>
            <w:r w:rsidRPr="0050243A">
              <w:rPr>
                <w:color w:val="000000" w:themeColor="text1"/>
                <w:sz w:val="20"/>
                <w:szCs w:val="20"/>
              </w:rPr>
              <w:t>deflator</w:t>
            </w:r>
            <w:r w:rsidRPr="0050243A">
              <w:rPr>
                <w:color w:val="000000" w:themeColor="text1"/>
                <w:spacing w:val="-2"/>
                <w:sz w:val="20"/>
                <w:szCs w:val="20"/>
              </w:rPr>
              <w:t xml:space="preserve"> </w:t>
            </w:r>
            <w:r w:rsidRPr="0050243A">
              <w:rPr>
                <w:color w:val="000000" w:themeColor="text1"/>
                <w:sz w:val="20"/>
                <w:szCs w:val="20"/>
              </w:rPr>
              <w:t>(annual</w:t>
            </w:r>
            <w:r w:rsidRPr="0050243A">
              <w:rPr>
                <w:color w:val="000000" w:themeColor="text1"/>
                <w:spacing w:val="-2"/>
                <w:sz w:val="20"/>
                <w:szCs w:val="20"/>
              </w:rPr>
              <w:t xml:space="preserve"> </w:t>
            </w:r>
            <w:r w:rsidRPr="0050243A">
              <w:rPr>
                <w:color w:val="000000" w:themeColor="text1"/>
                <w:spacing w:val="-5"/>
                <w:sz w:val="20"/>
                <w:szCs w:val="20"/>
              </w:rPr>
              <w:t>%)</w:t>
            </w:r>
          </w:p>
        </w:tc>
        <w:tc>
          <w:tcPr>
            <w:tcW w:w="893" w:type="dxa"/>
            <w:shd w:val="clear" w:color="auto" w:fill="F1F1F1"/>
          </w:tcPr>
          <w:p w14:paraId="1E8B1148"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6.72</w:t>
            </w:r>
          </w:p>
        </w:tc>
        <w:tc>
          <w:tcPr>
            <w:tcW w:w="719" w:type="dxa"/>
            <w:shd w:val="clear" w:color="auto" w:fill="F1F1F1"/>
          </w:tcPr>
          <w:p w14:paraId="5822A8C2"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24.59</w:t>
            </w:r>
          </w:p>
        </w:tc>
        <w:tc>
          <w:tcPr>
            <w:tcW w:w="906" w:type="dxa"/>
            <w:shd w:val="clear" w:color="auto" w:fill="F1F1F1"/>
          </w:tcPr>
          <w:p w14:paraId="44B0FDC2"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5.10</w:t>
            </w:r>
          </w:p>
        </w:tc>
        <w:tc>
          <w:tcPr>
            <w:tcW w:w="706" w:type="dxa"/>
            <w:shd w:val="clear" w:color="auto" w:fill="F1F1F1"/>
          </w:tcPr>
          <w:p w14:paraId="5503C8CD"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3.26</w:t>
            </w:r>
          </w:p>
        </w:tc>
        <w:tc>
          <w:tcPr>
            <w:tcW w:w="719" w:type="dxa"/>
            <w:shd w:val="clear" w:color="auto" w:fill="F1F1F1"/>
          </w:tcPr>
          <w:p w14:paraId="0D3B4BB3"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27.85</w:t>
            </w:r>
          </w:p>
        </w:tc>
      </w:tr>
      <w:tr w:rsidR="00191ABF" w:rsidRPr="0050243A" w14:paraId="437E31D5" w14:textId="77777777" w:rsidTr="008546EF">
        <w:trPr>
          <w:trHeight w:val="278"/>
        </w:trPr>
        <w:tc>
          <w:tcPr>
            <w:tcW w:w="3676" w:type="dxa"/>
          </w:tcPr>
          <w:p w14:paraId="74E25C51" w14:textId="77777777" w:rsidR="00191ABF" w:rsidRPr="0050243A" w:rsidRDefault="00191ABF" w:rsidP="008546EF">
            <w:pPr>
              <w:pStyle w:val="TableParagraph"/>
              <w:ind w:right="78"/>
              <w:rPr>
                <w:color w:val="000000" w:themeColor="text1"/>
                <w:sz w:val="20"/>
                <w:szCs w:val="20"/>
              </w:rPr>
            </w:pPr>
            <w:r w:rsidRPr="0050243A">
              <w:rPr>
                <w:color w:val="000000" w:themeColor="text1"/>
                <w:sz w:val="20"/>
                <w:szCs w:val="20"/>
              </w:rPr>
              <w:t>Lending</w:t>
            </w:r>
            <w:r w:rsidRPr="0050243A">
              <w:rPr>
                <w:color w:val="000000" w:themeColor="text1"/>
                <w:spacing w:val="-4"/>
                <w:sz w:val="20"/>
                <w:szCs w:val="20"/>
              </w:rPr>
              <w:t xml:space="preserve"> </w:t>
            </w:r>
            <w:r w:rsidRPr="0050243A">
              <w:rPr>
                <w:color w:val="000000" w:themeColor="text1"/>
                <w:sz w:val="20"/>
                <w:szCs w:val="20"/>
              </w:rPr>
              <w:t>interest</w:t>
            </w:r>
            <w:r w:rsidRPr="0050243A">
              <w:rPr>
                <w:color w:val="000000" w:themeColor="text1"/>
                <w:spacing w:val="-1"/>
                <w:sz w:val="20"/>
                <w:szCs w:val="20"/>
              </w:rPr>
              <w:t xml:space="preserve"> </w:t>
            </w:r>
            <w:r w:rsidRPr="0050243A">
              <w:rPr>
                <w:color w:val="000000" w:themeColor="text1"/>
                <w:sz w:val="20"/>
                <w:szCs w:val="20"/>
              </w:rPr>
              <w:t>rate</w:t>
            </w:r>
            <w:r w:rsidRPr="0050243A">
              <w:rPr>
                <w:color w:val="000000" w:themeColor="text1"/>
                <w:spacing w:val="-1"/>
                <w:sz w:val="20"/>
                <w:szCs w:val="20"/>
              </w:rPr>
              <w:t xml:space="preserve"> </w:t>
            </w:r>
            <w:r w:rsidRPr="0050243A">
              <w:rPr>
                <w:color w:val="000000" w:themeColor="text1"/>
                <w:spacing w:val="-5"/>
                <w:sz w:val="20"/>
                <w:szCs w:val="20"/>
              </w:rPr>
              <w:t>(%)</w:t>
            </w:r>
          </w:p>
        </w:tc>
        <w:tc>
          <w:tcPr>
            <w:tcW w:w="893" w:type="dxa"/>
          </w:tcPr>
          <w:p w14:paraId="2AFC8E35"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11.46</w:t>
            </w:r>
          </w:p>
        </w:tc>
        <w:tc>
          <w:tcPr>
            <w:tcW w:w="719" w:type="dxa"/>
          </w:tcPr>
          <w:p w14:paraId="35E8479E"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6.82</w:t>
            </w:r>
          </w:p>
        </w:tc>
        <w:tc>
          <w:tcPr>
            <w:tcW w:w="906" w:type="dxa"/>
          </w:tcPr>
          <w:p w14:paraId="2B10535D"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2.05</w:t>
            </w:r>
          </w:p>
        </w:tc>
        <w:tc>
          <w:tcPr>
            <w:tcW w:w="706" w:type="dxa"/>
          </w:tcPr>
          <w:p w14:paraId="2C5ADDE5"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7.12</w:t>
            </w:r>
          </w:p>
        </w:tc>
        <w:tc>
          <w:tcPr>
            <w:tcW w:w="719" w:type="dxa"/>
          </w:tcPr>
          <w:p w14:paraId="34FF5C21"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13.94</w:t>
            </w:r>
          </w:p>
        </w:tc>
      </w:tr>
      <w:tr w:rsidR="00191ABF" w:rsidRPr="0050243A" w14:paraId="3F9F23F3" w14:textId="77777777" w:rsidTr="008546EF">
        <w:trPr>
          <w:trHeight w:val="278"/>
        </w:trPr>
        <w:tc>
          <w:tcPr>
            <w:tcW w:w="3676" w:type="dxa"/>
            <w:shd w:val="clear" w:color="auto" w:fill="F1F1F1"/>
          </w:tcPr>
          <w:p w14:paraId="5B4A9C08" w14:textId="77777777" w:rsidR="00191ABF" w:rsidRPr="0050243A" w:rsidRDefault="00191ABF" w:rsidP="008546EF">
            <w:pPr>
              <w:pStyle w:val="TableParagraph"/>
              <w:ind w:right="78"/>
              <w:rPr>
                <w:color w:val="000000" w:themeColor="text1"/>
                <w:sz w:val="20"/>
                <w:szCs w:val="20"/>
              </w:rPr>
            </w:pPr>
            <w:r w:rsidRPr="0050243A">
              <w:rPr>
                <w:color w:val="000000" w:themeColor="text1"/>
                <w:sz w:val="20"/>
                <w:szCs w:val="20"/>
              </w:rPr>
              <w:t>Interest</w:t>
            </w:r>
            <w:r w:rsidRPr="0050243A">
              <w:rPr>
                <w:color w:val="000000" w:themeColor="text1"/>
                <w:spacing w:val="-4"/>
                <w:sz w:val="20"/>
                <w:szCs w:val="20"/>
              </w:rPr>
              <w:t xml:space="preserve"> </w:t>
            </w:r>
            <w:r w:rsidRPr="0050243A">
              <w:rPr>
                <w:color w:val="000000" w:themeColor="text1"/>
                <w:sz w:val="20"/>
                <w:szCs w:val="20"/>
              </w:rPr>
              <w:t>rate</w:t>
            </w:r>
            <w:r w:rsidRPr="0050243A">
              <w:rPr>
                <w:color w:val="000000" w:themeColor="text1"/>
                <w:spacing w:val="-2"/>
                <w:sz w:val="20"/>
                <w:szCs w:val="20"/>
              </w:rPr>
              <w:t xml:space="preserve"> </w:t>
            </w:r>
            <w:r w:rsidRPr="0050243A">
              <w:rPr>
                <w:color w:val="000000" w:themeColor="text1"/>
                <w:sz w:val="20"/>
                <w:szCs w:val="20"/>
              </w:rPr>
              <w:t>spread</w:t>
            </w:r>
            <w:r w:rsidRPr="0050243A">
              <w:rPr>
                <w:color w:val="000000" w:themeColor="text1"/>
                <w:spacing w:val="-1"/>
                <w:sz w:val="20"/>
                <w:szCs w:val="20"/>
              </w:rPr>
              <w:t xml:space="preserve"> </w:t>
            </w:r>
            <w:r w:rsidRPr="0050243A">
              <w:rPr>
                <w:color w:val="000000" w:themeColor="text1"/>
                <w:sz w:val="20"/>
                <w:szCs w:val="20"/>
              </w:rPr>
              <w:t>(lending</w:t>
            </w:r>
            <w:r w:rsidRPr="0050243A">
              <w:rPr>
                <w:color w:val="000000" w:themeColor="text1"/>
                <w:spacing w:val="-4"/>
                <w:sz w:val="20"/>
                <w:szCs w:val="20"/>
              </w:rPr>
              <w:t xml:space="preserve"> </w:t>
            </w:r>
            <w:r w:rsidRPr="0050243A">
              <w:rPr>
                <w:color w:val="000000" w:themeColor="text1"/>
                <w:sz w:val="20"/>
                <w:szCs w:val="20"/>
              </w:rPr>
              <w:t>rate</w:t>
            </w:r>
            <w:r w:rsidRPr="0050243A">
              <w:rPr>
                <w:color w:val="000000" w:themeColor="text1"/>
                <w:spacing w:val="-2"/>
                <w:sz w:val="20"/>
                <w:szCs w:val="20"/>
              </w:rPr>
              <w:t xml:space="preserve"> </w:t>
            </w:r>
            <w:r w:rsidRPr="0050243A">
              <w:rPr>
                <w:color w:val="000000" w:themeColor="text1"/>
                <w:sz w:val="20"/>
                <w:szCs w:val="20"/>
              </w:rPr>
              <w:t>minus</w:t>
            </w:r>
            <w:r w:rsidRPr="0050243A">
              <w:rPr>
                <w:color w:val="000000" w:themeColor="text1"/>
                <w:spacing w:val="-1"/>
                <w:sz w:val="20"/>
                <w:szCs w:val="20"/>
              </w:rPr>
              <w:t xml:space="preserve"> </w:t>
            </w:r>
            <w:r w:rsidRPr="0050243A">
              <w:rPr>
                <w:color w:val="000000" w:themeColor="text1"/>
                <w:spacing w:val="-2"/>
                <w:sz w:val="20"/>
                <w:szCs w:val="20"/>
              </w:rPr>
              <w:t>deposit)</w:t>
            </w:r>
          </w:p>
        </w:tc>
        <w:tc>
          <w:tcPr>
            <w:tcW w:w="893" w:type="dxa"/>
            <w:shd w:val="clear" w:color="auto" w:fill="F1F1F1"/>
          </w:tcPr>
          <w:p w14:paraId="5850CF13"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3.85</w:t>
            </w:r>
          </w:p>
        </w:tc>
        <w:tc>
          <w:tcPr>
            <w:tcW w:w="719" w:type="dxa"/>
            <w:shd w:val="clear" w:color="auto" w:fill="F1F1F1"/>
          </w:tcPr>
          <w:p w14:paraId="2F24E285"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4.63</w:t>
            </w:r>
          </w:p>
        </w:tc>
        <w:tc>
          <w:tcPr>
            <w:tcW w:w="906" w:type="dxa"/>
            <w:shd w:val="clear" w:color="auto" w:fill="F1F1F1"/>
          </w:tcPr>
          <w:p w14:paraId="3512E142"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1.26</w:t>
            </w:r>
          </w:p>
        </w:tc>
        <w:tc>
          <w:tcPr>
            <w:tcW w:w="706" w:type="dxa"/>
            <w:shd w:val="clear" w:color="auto" w:fill="F1F1F1"/>
          </w:tcPr>
          <w:p w14:paraId="30586BC2"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1.05</w:t>
            </w:r>
          </w:p>
        </w:tc>
        <w:tc>
          <w:tcPr>
            <w:tcW w:w="719" w:type="dxa"/>
            <w:shd w:val="clear" w:color="auto" w:fill="F1F1F1"/>
          </w:tcPr>
          <w:p w14:paraId="4B2AAF97"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5.68</w:t>
            </w:r>
          </w:p>
        </w:tc>
      </w:tr>
      <w:tr w:rsidR="00191ABF" w:rsidRPr="0050243A" w14:paraId="1768B90B" w14:textId="77777777" w:rsidTr="008546EF">
        <w:trPr>
          <w:trHeight w:val="278"/>
        </w:trPr>
        <w:tc>
          <w:tcPr>
            <w:tcW w:w="3676" w:type="dxa"/>
          </w:tcPr>
          <w:p w14:paraId="5732F0ED" w14:textId="77777777" w:rsidR="00191ABF" w:rsidRPr="0050243A" w:rsidRDefault="00191ABF" w:rsidP="008546EF">
            <w:pPr>
              <w:pStyle w:val="TableParagraph"/>
              <w:ind w:right="78"/>
              <w:rPr>
                <w:color w:val="000000" w:themeColor="text1"/>
                <w:sz w:val="20"/>
                <w:szCs w:val="20"/>
              </w:rPr>
            </w:pPr>
            <w:r w:rsidRPr="0050243A">
              <w:rPr>
                <w:color w:val="000000" w:themeColor="text1"/>
                <w:sz w:val="20"/>
                <w:szCs w:val="20"/>
              </w:rPr>
              <w:t>Political</w:t>
            </w:r>
            <w:r w:rsidRPr="0050243A">
              <w:rPr>
                <w:color w:val="000000" w:themeColor="text1"/>
                <w:spacing w:val="-1"/>
                <w:sz w:val="20"/>
                <w:szCs w:val="20"/>
              </w:rPr>
              <w:t xml:space="preserve"> </w:t>
            </w:r>
            <w:r w:rsidRPr="0050243A">
              <w:rPr>
                <w:color w:val="000000" w:themeColor="text1"/>
                <w:sz w:val="20"/>
                <w:szCs w:val="20"/>
              </w:rPr>
              <w:t>Stability</w:t>
            </w:r>
            <w:r w:rsidRPr="0050243A">
              <w:rPr>
                <w:color w:val="000000" w:themeColor="text1"/>
                <w:spacing w:val="-7"/>
                <w:sz w:val="20"/>
                <w:szCs w:val="20"/>
              </w:rPr>
              <w:t xml:space="preserve"> </w:t>
            </w:r>
            <w:r w:rsidRPr="0050243A">
              <w:rPr>
                <w:color w:val="000000" w:themeColor="text1"/>
                <w:sz w:val="20"/>
                <w:szCs w:val="20"/>
              </w:rPr>
              <w:t>&amp;</w:t>
            </w:r>
            <w:r w:rsidRPr="0050243A">
              <w:rPr>
                <w:color w:val="000000" w:themeColor="text1"/>
                <w:spacing w:val="-14"/>
                <w:sz w:val="20"/>
                <w:szCs w:val="20"/>
              </w:rPr>
              <w:t xml:space="preserve"> </w:t>
            </w:r>
            <w:r w:rsidRPr="0050243A">
              <w:rPr>
                <w:color w:val="000000" w:themeColor="text1"/>
                <w:sz w:val="20"/>
                <w:szCs w:val="20"/>
              </w:rPr>
              <w:t>Absence</w:t>
            </w:r>
            <w:r w:rsidRPr="0050243A">
              <w:rPr>
                <w:color w:val="000000" w:themeColor="text1"/>
                <w:spacing w:val="-2"/>
                <w:sz w:val="20"/>
                <w:szCs w:val="20"/>
              </w:rPr>
              <w:t xml:space="preserve"> </w:t>
            </w:r>
            <w:r w:rsidRPr="0050243A">
              <w:rPr>
                <w:color w:val="000000" w:themeColor="text1"/>
                <w:sz w:val="20"/>
                <w:szCs w:val="20"/>
              </w:rPr>
              <w:t>of</w:t>
            </w:r>
            <w:r w:rsidRPr="0050243A">
              <w:rPr>
                <w:color w:val="000000" w:themeColor="text1"/>
                <w:spacing w:val="-4"/>
                <w:sz w:val="20"/>
                <w:szCs w:val="20"/>
              </w:rPr>
              <w:t xml:space="preserve"> </w:t>
            </w:r>
            <w:r w:rsidRPr="0050243A">
              <w:rPr>
                <w:color w:val="000000" w:themeColor="text1"/>
                <w:spacing w:val="-2"/>
                <w:sz w:val="20"/>
                <w:szCs w:val="20"/>
              </w:rPr>
              <w:t>Violence</w:t>
            </w:r>
          </w:p>
        </w:tc>
        <w:tc>
          <w:tcPr>
            <w:tcW w:w="893" w:type="dxa"/>
          </w:tcPr>
          <w:p w14:paraId="58519128"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-1.09</w:t>
            </w:r>
          </w:p>
        </w:tc>
        <w:tc>
          <w:tcPr>
            <w:tcW w:w="719" w:type="dxa"/>
          </w:tcPr>
          <w:p w14:paraId="4C3A9C4C"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0.82</w:t>
            </w:r>
          </w:p>
        </w:tc>
        <w:tc>
          <w:tcPr>
            <w:tcW w:w="906" w:type="dxa"/>
          </w:tcPr>
          <w:p w14:paraId="7F8AF79B"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0.22</w:t>
            </w:r>
          </w:p>
        </w:tc>
        <w:tc>
          <w:tcPr>
            <w:tcW w:w="706" w:type="dxa"/>
          </w:tcPr>
          <w:p w14:paraId="1149FA03"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-1.60</w:t>
            </w:r>
          </w:p>
        </w:tc>
        <w:tc>
          <w:tcPr>
            <w:tcW w:w="719" w:type="dxa"/>
          </w:tcPr>
          <w:p w14:paraId="5E08EC93"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-0.77</w:t>
            </w:r>
          </w:p>
        </w:tc>
      </w:tr>
      <w:tr w:rsidR="00191ABF" w:rsidRPr="0050243A" w14:paraId="62C2CFF6" w14:textId="77777777" w:rsidTr="008546EF">
        <w:trPr>
          <w:trHeight w:val="279"/>
        </w:trPr>
        <w:tc>
          <w:tcPr>
            <w:tcW w:w="3676" w:type="dxa"/>
            <w:shd w:val="clear" w:color="auto" w:fill="F1F1F1"/>
          </w:tcPr>
          <w:p w14:paraId="278F9538" w14:textId="77777777" w:rsidR="00191ABF" w:rsidRPr="0050243A" w:rsidRDefault="00191ABF" w:rsidP="008546EF">
            <w:pPr>
              <w:pStyle w:val="TableParagraph"/>
              <w:ind w:right="78"/>
              <w:rPr>
                <w:color w:val="000000" w:themeColor="text1"/>
                <w:sz w:val="20"/>
                <w:szCs w:val="20"/>
              </w:rPr>
            </w:pPr>
            <w:r w:rsidRPr="0050243A">
              <w:rPr>
                <w:color w:val="000000" w:themeColor="text1"/>
                <w:sz w:val="20"/>
                <w:szCs w:val="20"/>
              </w:rPr>
              <w:t xml:space="preserve">Control of </w:t>
            </w:r>
            <w:r w:rsidRPr="0050243A">
              <w:rPr>
                <w:color w:val="000000" w:themeColor="text1"/>
                <w:spacing w:val="-2"/>
                <w:sz w:val="20"/>
                <w:szCs w:val="20"/>
              </w:rPr>
              <w:t>Corruption</w:t>
            </w:r>
          </w:p>
        </w:tc>
        <w:tc>
          <w:tcPr>
            <w:tcW w:w="893" w:type="dxa"/>
            <w:shd w:val="clear" w:color="auto" w:fill="F1F1F1"/>
          </w:tcPr>
          <w:p w14:paraId="4A5C3DFD"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-0.74</w:t>
            </w:r>
          </w:p>
        </w:tc>
        <w:tc>
          <w:tcPr>
            <w:tcW w:w="719" w:type="dxa"/>
            <w:shd w:val="clear" w:color="auto" w:fill="F1F1F1"/>
          </w:tcPr>
          <w:p w14:paraId="4FC2F909"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0.44</w:t>
            </w:r>
          </w:p>
        </w:tc>
        <w:tc>
          <w:tcPr>
            <w:tcW w:w="906" w:type="dxa"/>
            <w:shd w:val="clear" w:color="auto" w:fill="F1F1F1"/>
          </w:tcPr>
          <w:p w14:paraId="05D8BE37"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0.09</w:t>
            </w:r>
          </w:p>
        </w:tc>
        <w:tc>
          <w:tcPr>
            <w:tcW w:w="706" w:type="dxa"/>
            <w:shd w:val="clear" w:color="auto" w:fill="F1F1F1"/>
          </w:tcPr>
          <w:p w14:paraId="670605B1"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-0.93</w:t>
            </w:r>
          </w:p>
        </w:tc>
        <w:tc>
          <w:tcPr>
            <w:tcW w:w="719" w:type="dxa"/>
            <w:shd w:val="clear" w:color="auto" w:fill="F1F1F1"/>
          </w:tcPr>
          <w:p w14:paraId="6D153C9A"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-0.49</w:t>
            </w:r>
          </w:p>
        </w:tc>
      </w:tr>
      <w:tr w:rsidR="00191ABF" w:rsidRPr="0050243A" w14:paraId="65F32349" w14:textId="77777777" w:rsidTr="008546EF">
        <w:trPr>
          <w:trHeight w:val="280"/>
        </w:trPr>
        <w:tc>
          <w:tcPr>
            <w:tcW w:w="3676" w:type="dxa"/>
          </w:tcPr>
          <w:p w14:paraId="66B0FF7C" w14:textId="77777777" w:rsidR="00191ABF" w:rsidRPr="0050243A" w:rsidRDefault="00191ABF" w:rsidP="008546EF">
            <w:pPr>
              <w:pStyle w:val="TableParagraph"/>
              <w:ind w:right="78"/>
              <w:rPr>
                <w:color w:val="000000" w:themeColor="text1"/>
                <w:sz w:val="20"/>
                <w:szCs w:val="20"/>
              </w:rPr>
            </w:pPr>
            <w:r w:rsidRPr="0050243A">
              <w:rPr>
                <w:color w:val="000000" w:themeColor="text1"/>
                <w:sz w:val="20"/>
                <w:szCs w:val="20"/>
              </w:rPr>
              <w:t>Government</w:t>
            </w:r>
            <w:r w:rsidRPr="0050243A">
              <w:rPr>
                <w:color w:val="000000" w:themeColor="text1"/>
                <w:spacing w:val="-4"/>
                <w:sz w:val="20"/>
                <w:szCs w:val="20"/>
              </w:rPr>
              <w:t xml:space="preserve"> </w:t>
            </w:r>
            <w:r w:rsidRPr="0050243A">
              <w:rPr>
                <w:color w:val="000000" w:themeColor="text1"/>
                <w:spacing w:val="-2"/>
                <w:sz w:val="20"/>
                <w:szCs w:val="20"/>
              </w:rPr>
              <w:t>Effectiveness</w:t>
            </w:r>
          </w:p>
        </w:tc>
        <w:tc>
          <w:tcPr>
            <w:tcW w:w="893" w:type="dxa"/>
          </w:tcPr>
          <w:p w14:paraId="2F462033"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-1.13</w:t>
            </w:r>
          </w:p>
        </w:tc>
        <w:tc>
          <w:tcPr>
            <w:tcW w:w="719" w:type="dxa"/>
          </w:tcPr>
          <w:p w14:paraId="304E0A70"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1.49</w:t>
            </w:r>
          </w:p>
        </w:tc>
        <w:tc>
          <w:tcPr>
            <w:tcW w:w="906" w:type="dxa"/>
          </w:tcPr>
          <w:p w14:paraId="3CF33039"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0.36</w:t>
            </w:r>
          </w:p>
        </w:tc>
        <w:tc>
          <w:tcPr>
            <w:tcW w:w="706" w:type="dxa"/>
          </w:tcPr>
          <w:p w14:paraId="588DC3C3"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-1.86</w:t>
            </w:r>
          </w:p>
        </w:tc>
        <w:tc>
          <w:tcPr>
            <w:tcW w:w="719" w:type="dxa"/>
          </w:tcPr>
          <w:p w14:paraId="519BED80"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-0.37</w:t>
            </w:r>
          </w:p>
        </w:tc>
      </w:tr>
      <w:tr w:rsidR="00191ABF" w:rsidRPr="0050243A" w14:paraId="7843528A" w14:textId="77777777" w:rsidTr="008546EF">
        <w:trPr>
          <w:trHeight w:val="278"/>
        </w:trPr>
        <w:tc>
          <w:tcPr>
            <w:tcW w:w="3676" w:type="dxa"/>
            <w:shd w:val="clear" w:color="auto" w:fill="F1F1F1"/>
          </w:tcPr>
          <w:p w14:paraId="3B9D94EA" w14:textId="77777777" w:rsidR="00191ABF" w:rsidRPr="0050243A" w:rsidRDefault="00191ABF" w:rsidP="008546EF">
            <w:pPr>
              <w:pStyle w:val="TableParagraph"/>
              <w:ind w:right="78"/>
              <w:rPr>
                <w:color w:val="000000" w:themeColor="text1"/>
                <w:sz w:val="20"/>
                <w:szCs w:val="20"/>
              </w:rPr>
            </w:pPr>
            <w:bookmarkStart w:id="3" w:name="_Hlk201864104"/>
            <w:r w:rsidRPr="0050243A">
              <w:rPr>
                <w:color w:val="000000" w:themeColor="text1"/>
                <w:sz w:val="20"/>
                <w:szCs w:val="20"/>
              </w:rPr>
              <w:t>Total</w:t>
            </w:r>
            <w:r w:rsidRPr="0050243A">
              <w:rPr>
                <w:color w:val="000000" w:themeColor="text1"/>
                <w:spacing w:val="-8"/>
                <w:sz w:val="20"/>
                <w:szCs w:val="20"/>
              </w:rPr>
              <w:t xml:space="preserve"> </w:t>
            </w:r>
            <w:r w:rsidRPr="0050243A">
              <w:rPr>
                <w:color w:val="000000" w:themeColor="text1"/>
                <w:sz w:val="20"/>
                <w:szCs w:val="20"/>
              </w:rPr>
              <w:t>overseas</w:t>
            </w:r>
            <w:r w:rsidRPr="0050243A">
              <w:rPr>
                <w:color w:val="000000" w:themeColor="text1"/>
                <w:spacing w:val="-5"/>
                <w:sz w:val="20"/>
                <w:szCs w:val="20"/>
              </w:rPr>
              <w:t xml:space="preserve"> </w:t>
            </w:r>
            <w:r w:rsidRPr="0050243A">
              <w:rPr>
                <w:color w:val="000000" w:themeColor="text1"/>
                <w:sz w:val="20"/>
                <w:szCs w:val="20"/>
              </w:rPr>
              <w:t>employment</w:t>
            </w:r>
            <w:r w:rsidRPr="0050243A">
              <w:rPr>
                <w:color w:val="000000" w:themeColor="text1"/>
                <w:spacing w:val="-6"/>
                <w:sz w:val="20"/>
                <w:szCs w:val="20"/>
              </w:rPr>
              <w:t xml:space="preserve"> </w:t>
            </w:r>
            <w:r w:rsidRPr="0050243A">
              <w:rPr>
                <w:color w:val="000000" w:themeColor="text1"/>
                <w:spacing w:val="-2"/>
                <w:sz w:val="20"/>
                <w:szCs w:val="20"/>
              </w:rPr>
              <w:t>(Million)</w:t>
            </w:r>
          </w:p>
        </w:tc>
        <w:tc>
          <w:tcPr>
            <w:tcW w:w="893" w:type="dxa"/>
            <w:shd w:val="clear" w:color="auto" w:fill="F1F1F1"/>
          </w:tcPr>
          <w:p w14:paraId="2766B657"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0.51</w:t>
            </w:r>
          </w:p>
        </w:tc>
        <w:tc>
          <w:tcPr>
            <w:tcW w:w="719" w:type="dxa"/>
            <w:shd w:val="clear" w:color="auto" w:fill="F1F1F1"/>
          </w:tcPr>
          <w:p w14:paraId="2A6DFF93"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1.14</w:t>
            </w:r>
          </w:p>
        </w:tc>
        <w:tc>
          <w:tcPr>
            <w:tcW w:w="906" w:type="dxa"/>
            <w:shd w:val="clear" w:color="auto" w:fill="F1F1F1"/>
          </w:tcPr>
          <w:p w14:paraId="58F26751"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0.31</w:t>
            </w:r>
          </w:p>
        </w:tc>
        <w:tc>
          <w:tcPr>
            <w:tcW w:w="706" w:type="dxa"/>
            <w:shd w:val="clear" w:color="auto" w:fill="F1F1F1"/>
          </w:tcPr>
          <w:p w14:paraId="6672821D"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0.17</w:t>
            </w:r>
          </w:p>
        </w:tc>
        <w:tc>
          <w:tcPr>
            <w:tcW w:w="719" w:type="dxa"/>
            <w:shd w:val="clear" w:color="auto" w:fill="F1F1F1"/>
          </w:tcPr>
          <w:p w14:paraId="51F67DC2"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1.31</w:t>
            </w:r>
          </w:p>
        </w:tc>
      </w:tr>
    </w:tbl>
    <w:bookmarkEnd w:id="3"/>
    <w:p w14:paraId="49C27AE2" w14:textId="482280DF" w:rsidR="00191ABF" w:rsidRDefault="00191ABF" w:rsidP="008546EF">
      <w:pPr>
        <w:pStyle w:val="NormalWeb"/>
        <w:spacing w:before="0" w:beforeAutospacing="0" w:after="0" w:afterAutospacing="0" w:line="324" w:lineRule="auto"/>
        <w:ind w:right="78"/>
        <w:jc w:val="both"/>
        <w:rPr>
          <w:color w:val="000000" w:themeColor="text1"/>
          <w:sz w:val="20"/>
          <w:szCs w:val="20"/>
        </w:rPr>
      </w:pPr>
      <w:r w:rsidRPr="0050243A">
        <w:rPr>
          <w:color w:val="000000" w:themeColor="text1"/>
          <w:sz w:val="20"/>
          <w:szCs w:val="20"/>
        </w:rPr>
        <w:lastRenderedPageBreak/>
        <w:t xml:space="preserve">In Bangladesh, </w:t>
      </w:r>
      <w:r w:rsidRPr="0050243A">
        <w:rPr>
          <w:rStyle w:val="Strong"/>
          <w:b w:val="0"/>
          <w:bCs w:val="0"/>
          <w:color w:val="000000" w:themeColor="text1"/>
          <w:sz w:val="20"/>
          <w:szCs w:val="20"/>
        </w:rPr>
        <w:t xml:space="preserve">Remittances received </w:t>
      </w:r>
      <w:bookmarkStart w:id="4" w:name="_Hlk201830932"/>
      <w:r w:rsidRPr="0050243A">
        <w:rPr>
          <w:rStyle w:val="Strong"/>
          <w:b w:val="0"/>
          <w:bCs w:val="0"/>
          <w:color w:val="000000" w:themeColor="text1"/>
          <w:sz w:val="20"/>
          <w:szCs w:val="20"/>
        </w:rPr>
        <w:t>(current US$ in billions)</w:t>
      </w:r>
      <w:r w:rsidRPr="0050243A">
        <w:rPr>
          <w:color w:val="000000" w:themeColor="text1"/>
          <w:sz w:val="20"/>
          <w:szCs w:val="20"/>
        </w:rPr>
        <w:t xml:space="preserve"> </w:t>
      </w:r>
      <w:bookmarkEnd w:id="4"/>
      <w:r w:rsidRPr="0050243A">
        <w:rPr>
          <w:color w:val="000000" w:themeColor="text1"/>
          <w:sz w:val="20"/>
          <w:szCs w:val="20"/>
        </w:rPr>
        <w:t xml:space="preserve">display relatively moderate variation, with a mean value of 10.2 and a standard deviation of 7.19. The observed range is 20.86, with remittance values fluctuating between 1.34 and 22.21, reflecting periods of both low and high inflows. The </w:t>
      </w:r>
      <w:r w:rsidRPr="0050243A">
        <w:rPr>
          <w:rStyle w:val="Strong"/>
          <w:b w:val="0"/>
          <w:bCs w:val="0"/>
          <w:color w:val="000000" w:themeColor="text1"/>
          <w:sz w:val="20"/>
          <w:szCs w:val="20"/>
        </w:rPr>
        <w:t>GDP per capita (GDP)</w:t>
      </w:r>
      <w:r w:rsidRPr="0050243A">
        <w:rPr>
          <w:color w:val="000000" w:themeColor="text1"/>
          <w:sz w:val="20"/>
          <w:szCs w:val="20"/>
        </w:rPr>
        <w:t xml:space="preserve"> has a mean of 1059.98 and a standard deviation of 786.79, with values ranging from 371.92 to 2716.49. This wide range may suggest the presence of outliers or data quality issues. The </w:t>
      </w:r>
      <w:r w:rsidRPr="0050243A">
        <w:rPr>
          <w:rStyle w:val="Strong"/>
          <w:b w:val="0"/>
          <w:bCs w:val="0"/>
          <w:color w:val="000000" w:themeColor="text1"/>
          <w:sz w:val="20"/>
          <w:szCs w:val="20"/>
        </w:rPr>
        <w:t>Unemployment rate (</w:t>
      </w:r>
      <w:proofErr w:type="spellStart"/>
      <w:r w:rsidRPr="0050243A">
        <w:rPr>
          <w:rStyle w:val="Strong"/>
          <w:b w:val="0"/>
          <w:bCs w:val="0"/>
          <w:color w:val="000000" w:themeColor="text1"/>
          <w:sz w:val="20"/>
          <w:szCs w:val="20"/>
        </w:rPr>
        <w:t>Unem_R</w:t>
      </w:r>
      <w:proofErr w:type="spellEnd"/>
      <w:r w:rsidRPr="0050243A">
        <w:rPr>
          <w:rStyle w:val="Strong"/>
          <w:b w:val="0"/>
          <w:bCs w:val="0"/>
          <w:color w:val="000000" w:themeColor="text1"/>
          <w:sz w:val="20"/>
          <w:szCs w:val="20"/>
        </w:rPr>
        <w:t>)</w:t>
      </w:r>
      <w:r w:rsidRPr="0050243A">
        <w:rPr>
          <w:color w:val="000000" w:themeColor="text1"/>
          <w:sz w:val="20"/>
          <w:szCs w:val="20"/>
        </w:rPr>
        <w:t xml:space="preserve"> shows a mean of 4.07 and a standard deviation of 0.72, with values varying from 2.51 to 5.44. The </w:t>
      </w:r>
      <w:r w:rsidRPr="0050243A">
        <w:rPr>
          <w:rStyle w:val="Strong"/>
          <w:b w:val="0"/>
          <w:bCs w:val="0"/>
          <w:color w:val="000000" w:themeColor="text1"/>
          <w:sz w:val="20"/>
          <w:szCs w:val="20"/>
        </w:rPr>
        <w:t>Official exchange rate (Exchange)</w:t>
      </w:r>
      <w:r w:rsidRPr="0050243A">
        <w:rPr>
          <w:color w:val="000000" w:themeColor="text1"/>
          <w:sz w:val="20"/>
          <w:szCs w:val="20"/>
        </w:rPr>
        <w:t xml:space="preserve"> averages 69.97, with a standard deviation of 15.59 and a range from 41.79 to 106.31, which could indicate potential data anomalies or structural shifts in the exchange regime. </w:t>
      </w:r>
      <w:r w:rsidRPr="0050243A">
        <w:rPr>
          <w:rStyle w:val="Strong"/>
          <w:b w:val="0"/>
          <w:bCs w:val="0"/>
          <w:color w:val="000000" w:themeColor="text1"/>
          <w:sz w:val="20"/>
          <w:szCs w:val="20"/>
        </w:rPr>
        <w:t>Inflation</w:t>
      </w:r>
      <w:r w:rsidRPr="0050243A">
        <w:rPr>
          <w:color w:val="000000" w:themeColor="text1"/>
          <w:sz w:val="20"/>
          <w:szCs w:val="20"/>
        </w:rPr>
        <w:t xml:space="preserve"> records an average of 6.72 with a standard deviation of 5.10, spanning a range from 3.26 to 27.85, suggesting episodes of significantly elevated inflation. The </w:t>
      </w:r>
      <w:r w:rsidRPr="0050243A">
        <w:rPr>
          <w:rStyle w:val="Strong"/>
          <w:b w:val="0"/>
          <w:bCs w:val="0"/>
          <w:color w:val="000000" w:themeColor="text1"/>
          <w:sz w:val="20"/>
          <w:szCs w:val="20"/>
        </w:rPr>
        <w:t>Lending interest rate (</w:t>
      </w:r>
      <w:proofErr w:type="spellStart"/>
      <w:r w:rsidRPr="0050243A">
        <w:rPr>
          <w:rStyle w:val="Strong"/>
          <w:b w:val="0"/>
          <w:bCs w:val="0"/>
          <w:color w:val="000000" w:themeColor="text1"/>
          <w:sz w:val="20"/>
          <w:szCs w:val="20"/>
        </w:rPr>
        <w:t>Lending_IR</w:t>
      </w:r>
      <w:proofErr w:type="spellEnd"/>
      <w:r w:rsidRPr="0050243A">
        <w:rPr>
          <w:rStyle w:val="Strong"/>
          <w:b w:val="0"/>
          <w:bCs w:val="0"/>
          <w:color w:val="000000" w:themeColor="text1"/>
          <w:sz w:val="20"/>
          <w:szCs w:val="20"/>
        </w:rPr>
        <w:t>)</w:t>
      </w:r>
      <w:r w:rsidRPr="0050243A">
        <w:rPr>
          <w:color w:val="000000" w:themeColor="text1"/>
          <w:sz w:val="20"/>
          <w:szCs w:val="20"/>
        </w:rPr>
        <w:t xml:space="preserve"> has a mean of 3.85 and a standard deviation of 2.05, with values ranging from 7.12 to 13.94. </w:t>
      </w:r>
      <w:r w:rsidRPr="0050243A">
        <w:rPr>
          <w:rStyle w:val="Strong"/>
          <w:b w:val="0"/>
          <w:bCs w:val="0"/>
          <w:color w:val="000000" w:themeColor="text1"/>
          <w:sz w:val="20"/>
          <w:szCs w:val="20"/>
        </w:rPr>
        <w:t>Interest rate spread</w:t>
      </w:r>
      <w:r w:rsidRPr="0050243A">
        <w:rPr>
          <w:color w:val="000000" w:themeColor="text1"/>
          <w:sz w:val="20"/>
          <w:szCs w:val="20"/>
        </w:rPr>
        <w:t xml:space="preserve"> (</w:t>
      </w:r>
      <w:proofErr w:type="spellStart"/>
      <w:r w:rsidRPr="0050243A">
        <w:rPr>
          <w:color w:val="000000" w:themeColor="text1"/>
          <w:sz w:val="20"/>
          <w:szCs w:val="20"/>
        </w:rPr>
        <w:t>Interest_RS</w:t>
      </w:r>
      <w:proofErr w:type="spellEnd"/>
      <w:r w:rsidRPr="0050243A">
        <w:rPr>
          <w:color w:val="000000" w:themeColor="text1"/>
          <w:sz w:val="20"/>
          <w:szCs w:val="20"/>
        </w:rPr>
        <w:t xml:space="preserve">) also has a mean of 3.85 and a standard deviation of 1.26, ranging from 1.05 to 5.68, raising concerns about potential outliers. The </w:t>
      </w:r>
      <w:r w:rsidRPr="0050243A">
        <w:rPr>
          <w:rStyle w:val="Strong"/>
          <w:b w:val="0"/>
          <w:bCs w:val="0"/>
          <w:color w:val="000000" w:themeColor="text1"/>
          <w:sz w:val="20"/>
          <w:szCs w:val="20"/>
        </w:rPr>
        <w:t>Political Stability and Absence of Violence (</w:t>
      </w:r>
      <w:proofErr w:type="spellStart"/>
      <w:r w:rsidRPr="0050243A">
        <w:rPr>
          <w:rStyle w:val="Strong"/>
          <w:b w:val="0"/>
          <w:bCs w:val="0"/>
          <w:color w:val="000000" w:themeColor="text1"/>
          <w:sz w:val="20"/>
          <w:szCs w:val="20"/>
        </w:rPr>
        <w:t>Political_SAV</w:t>
      </w:r>
      <w:proofErr w:type="spellEnd"/>
      <w:r w:rsidRPr="0050243A">
        <w:rPr>
          <w:rStyle w:val="Strong"/>
          <w:b w:val="0"/>
          <w:bCs w:val="0"/>
          <w:color w:val="000000" w:themeColor="text1"/>
          <w:sz w:val="20"/>
          <w:szCs w:val="20"/>
        </w:rPr>
        <w:t>)</w:t>
      </w:r>
      <w:r w:rsidRPr="0050243A">
        <w:rPr>
          <w:color w:val="000000" w:themeColor="text1"/>
          <w:sz w:val="20"/>
          <w:szCs w:val="20"/>
        </w:rPr>
        <w:t xml:space="preserve"> indicator averages -1.09 with a standard deviation of 0.22, ranging between -1.60 and -0.77. </w:t>
      </w:r>
      <w:r w:rsidRPr="0050243A">
        <w:rPr>
          <w:rStyle w:val="Strong"/>
          <w:b w:val="0"/>
          <w:bCs w:val="0"/>
          <w:color w:val="000000" w:themeColor="text1"/>
          <w:sz w:val="20"/>
          <w:szCs w:val="20"/>
        </w:rPr>
        <w:t>Control of Corruption (</w:t>
      </w:r>
      <w:proofErr w:type="spellStart"/>
      <w:r w:rsidRPr="0050243A">
        <w:rPr>
          <w:rStyle w:val="Strong"/>
          <w:b w:val="0"/>
          <w:bCs w:val="0"/>
          <w:color w:val="000000" w:themeColor="text1"/>
          <w:sz w:val="20"/>
          <w:szCs w:val="20"/>
        </w:rPr>
        <w:t>Corruption_C</w:t>
      </w:r>
      <w:proofErr w:type="spellEnd"/>
      <w:r w:rsidRPr="0050243A">
        <w:rPr>
          <w:rStyle w:val="Strong"/>
          <w:b w:val="0"/>
          <w:bCs w:val="0"/>
          <w:color w:val="000000" w:themeColor="text1"/>
          <w:sz w:val="20"/>
          <w:szCs w:val="20"/>
        </w:rPr>
        <w:t>)</w:t>
      </w:r>
      <w:r w:rsidRPr="0050243A">
        <w:rPr>
          <w:color w:val="000000" w:themeColor="text1"/>
          <w:sz w:val="20"/>
          <w:szCs w:val="20"/>
        </w:rPr>
        <w:t xml:space="preserve"> exhibits some variability, with a mean of -0.74, a standard deviation of 0.09, and values ranging from -0.93 to -0.49. </w:t>
      </w:r>
      <w:r w:rsidRPr="0050243A">
        <w:rPr>
          <w:rStyle w:val="Strong"/>
          <w:b w:val="0"/>
          <w:bCs w:val="0"/>
          <w:color w:val="000000" w:themeColor="text1"/>
          <w:sz w:val="20"/>
          <w:szCs w:val="20"/>
        </w:rPr>
        <w:t>Government Effectiveness (</w:t>
      </w:r>
      <w:proofErr w:type="spellStart"/>
      <w:r w:rsidRPr="0050243A">
        <w:rPr>
          <w:rStyle w:val="Strong"/>
          <w:b w:val="0"/>
          <w:bCs w:val="0"/>
          <w:color w:val="000000" w:themeColor="text1"/>
          <w:sz w:val="20"/>
          <w:szCs w:val="20"/>
        </w:rPr>
        <w:t>Govt_effect</w:t>
      </w:r>
      <w:proofErr w:type="spellEnd"/>
      <w:r w:rsidRPr="0050243A">
        <w:rPr>
          <w:rStyle w:val="Strong"/>
          <w:b w:val="0"/>
          <w:bCs w:val="0"/>
          <w:color w:val="000000" w:themeColor="text1"/>
          <w:sz w:val="20"/>
          <w:szCs w:val="20"/>
        </w:rPr>
        <w:t>)</w:t>
      </w:r>
      <w:r w:rsidRPr="0050243A">
        <w:rPr>
          <w:color w:val="000000" w:themeColor="text1"/>
          <w:sz w:val="20"/>
          <w:szCs w:val="20"/>
        </w:rPr>
        <w:t xml:space="preserve"> has an average of -1.13, with a standard deviation of 0.36, and values ranging from -1.86 to -0.37. </w:t>
      </w:r>
      <w:r w:rsidRPr="0050243A">
        <w:rPr>
          <w:rStyle w:val="Strong"/>
          <w:b w:val="0"/>
          <w:bCs w:val="0"/>
          <w:color w:val="000000" w:themeColor="text1"/>
          <w:sz w:val="20"/>
          <w:szCs w:val="20"/>
        </w:rPr>
        <w:t>Total overseas employment growth (Overseas)</w:t>
      </w:r>
      <w:r w:rsidRPr="0050243A">
        <w:rPr>
          <w:color w:val="000000" w:themeColor="text1"/>
          <w:sz w:val="20"/>
          <w:szCs w:val="20"/>
        </w:rPr>
        <w:t xml:space="preserve"> ranges from 0.17 to 1.31, with a mean of 0.51 and a standard deviation of 0.31, potentially indicating outliers or irregularities in reporting, as shown in Table 1.</w:t>
      </w:r>
    </w:p>
    <w:p w14:paraId="33C6F709" w14:textId="77777777" w:rsidR="00E26A69" w:rsidRPr="0050243A" w:rsidRDefault="00E26A69" w:rsidP="008546EF">
      <w:pPr>
        <w:pStyle w:val="NormalWeb"/>
        <w:spacing w:before="0" w:beforeAutospacing="0" w:after="0" w:afterAutospacing="0" w:line="324" w:lineRule="auto"/>
        <w:ind w:right="78"/>
        <w:jc w:val="both"/>
        <w:rPr>
          <w:color w:val="000000" w:themeColor="text1"/>
          <w:sz w:val="20"/>
          <w:szCs w:val="20"/>
        </w:rPr>
      </w:pPr>
    </w:p>
    <w:p w14:paraId="44F10898" w14:textId="77777777" w:rsidR="00191ABF" w:rsidRDefault="00191ABF" w:rsidP="008546EF">
      <w:pPr>
        <w:pStyle w:val="NormalWeb"/>
        <w:spacing w:before="0" w:beforeAutospacing="0" w:after="0" w:afterAutospacing="0"/>
        <w:ind w:right="78"/>
        <w:jc w:val="both"/>
        <w:rPr>
          <w:b/>
          <w:bCs/>
          <w:color w:val="000000" w:themeColor="text1"/>
          <w:sz w:val="20"/>
          <w:szCs w:val="20"/>
        </w:rPr>
      </w:pPr>
      <w:r w:rsidRPr="0050243A">
        <w:rPr>
          <w:b/>
          <w:bCs/>
          <w:color w:val="000000" w:themeColor="text1"/>
          <w:sz w:val="20"/>
          <w:szCs w:val="20"/>
        </w:rPr>
        <w:t>Analysis of Remittance Patterns and Determinants</w:t>
      </w:r>
    </w:p>
    <w:p w14:paraId="5BD50294" w14:textId="77777777" w:rsidR="00E26A69" w:rsidRPr="0050243A" w:rsidRDefault="00E26A69" w:rsidP="008546EF">
      <w:pPr>
        <w:pStyle w:val="NormalWeb"/>
        <w:spacing w:before="0" w:beforeAutospacing="0" w:after="0" w:afterAutospacing="0"/>
        <w:ind w:right="78"/>
        <w:jc w:val="both"/>
        <w:rPr>
          <w:b/>
          <w:bCs/>
          <w:color w:val="000000" w:themeColor="text1"/>
          <w:sz w:val="20"/>
          <w:szCs w:val="20"/>
        </w:rPr>
      </w:pPr>
    </w:p>
    <w:p w14:paraId="6DE3768C" w14:textId="77777777" w:rsidR="00191ABF" w:rsidRPr="0050243A" w:rsidRDefault="00191ABF" w:rsidP="008546EF">
      <w:pPr>
        <w:pStyle w:val="NormalWeb"/>
        <w:spacing w:before="0" w:beforeAutospacing="0" w:after="0" w:afterAutospacing="0" w:line="324" w:lineRule="auto"/>
        <w:ind w:right="78"/>
        <w:jc w:val="both"/>
        <w:rPr>
          <w:color w:val="000000" w:themeColor="text1"/>
          <w:sz w:val="20"/>
          <w:szCs w:val="20"/>
        </w:rPr>
      </w:pPr>
      <w:r w:rsidRPr="0050243A">
        <w:rPr>
          <w:rStyle w:val="Strong"/>
          <w:b w:val="0"/>
          <w:bCs w:val="0"/>
          <w:color w:val="000000" w:themeColor="text1"/>
          <w:sz w:val="20"/>
          <w:szCs w:val="20"/>
        </w:rPr>
        <w:t>Figure 2</w:t>
      </w:r>
      <w:r w:rsidRPr="0050243A">
        <w:rPr>
          <w:color w:val="000000" w:themeColor="text1"/>
          <w:sz w:val="20"/>
          <w:szCs w:val="20"/>
        </w:rPr>
        <w:t xml:space="preserve"> illustrates the </w:t>
      </w:r>
      <w:r w:rsidRPr="0050243A">
        <w:rPr>
          <w:rStyle w:val="Strong"/>
          <w:b w:val="0"/>
          <w:bCs w:val="0"/>
          <w:color w:val="000000" w:themeColor="text1"/>
          <w:sz w:val="20"/>
          <w:szCs w:val="20"/>
        </w:rPr>
        <w:t>Maximal Information Coefficient (MIC) heatmap</w:t>
      </w:r>
      <w:r w:rsidRPr="0050243A">
        <w:rPr>
          <w:color w:val="000000" w:themeColor="text1"/>
          <w:sz w:val="20"/>
          <w:szCs w:val="20"/>
        </w:rPr>
        <w:t xml:space="preserve">, which effectively captures both linear and nonlinear associations among variables. The heatmap emphasizes the relationships between </w:t>
      </w:r>
      <w:bookmarkStart w:id="5" w:name="_Hlk201830806"/>
      <w:r w:rsidRPr="0050243A">
        <w:rPr>
          <w:rStyle w:val="Strong"/>
          <w:b w:val="0"/>
          <w:bCs w:val="0"/>
          <w:color w:val="000000" w:themeColor="text1"/>
          <w:sz w:val="20"/>
          <w:szCs w:val="20"/>
        </w:rPr>
        <w:t>personal remittances received</w:t>
      </w:r>
      <w:r w:rsidRPr="0050243A">
        <w:rPr>
          <w:color w:val="000000" w:themeColor="text1"/>
          <w:sz w:val="20"/>
          <w:szCs w:val="20"/>
        </w:rPr>
        <w:t xml:space="preserve"> </w:t>
      </w:r>
      <w:bookmarkEnd w:id="5"/>
      <w:r w:rsidRPr="0050243A">
        <w:rPr>
          <w:color w:val="000000" w:themeColor="text1"/>
          <w:sz w:val="20"/>
          <w:szCs w:val="20"/>
        </w:rPr>
        <w:t xml:space="preserve">and various </w:t>
      </w:r>
      <w:r w:rsidRPr="0050243A">
        <w:rPr>
          <w:rStyle w:val="Strong"/>
          <w:b w:val="0"/>
          <w:bCs w:val="0"/>
          <w:color w:val="000000" w:themeColor="text1"/>
          <w:sz w:val="20"/>
          <w:szCs w:val="20"/>
        </w:rPr>
        <w:t>economic indicators</w:t>
      </w:r>
      <w:r w:rsidRPr="0050243A">
        <w:rPr>
          <w:color w:val="000000" w:themeColor="text1"/>
          <w:sz w:val="20"/>
          <w:szCs w:val="20"/>
        </w:rPr>
        <w:t xml:space="preserve">. Remittances show a </w:t>
      </w:r>
      <w:r w:rsidRPr="0050243A">
        <w:rPr>
          <w:rStyle w:val="Strong"/>
          <w:b w:val="0"/>
          <w:bCs w:val="0"/>
          <w:color w:val="000000" w:themeColor="text1"/>
          <w:sz w:val="20"/>
          <w:szCs w:val="20"/>
        </w:rPr>
        <w:t>perfect positive correlation 1.00</w:t>
      </w:r>
      <w:r w:rsidRPr="0050243A">
        <w:rPr>
          <w:color w:val="000000" w:themeColor="text1"/>
          <w:sz w:val="20"/>
          <w:szCs w:val="20"/>
        </w:rPr>
        <w:t xml:space="preserve"> with both</w:t>
      </w:r>
      <w:r w:rsidRPr="0050243A">
        <w:rPr>
          <w:rStyle w:val="Strong"/>
          <w:b w:val="0"/>
          <w:bCs w:val="0"/>
          <w:color w:val="000000" w:themeColor="text1"/>
          <w:sz w:val="20"/>
          <w:szCs w:val="20"/>
        </w:rPr>
        <w:t xml:space="preserve"> GDP</w:t>
      </w:r>
      <w:r w:rsidRPr="0050243A">
        <w:rPr>
          <w:color w:val="000000" w:themeColor="text1"/>
          <w:sz w:val="20"/>
          <w:szCs w:val="20"/>
        </w:rPr>
        <w:t xml:space="preserve"> and the </w:t>
      </w:r>
      <w:r w:rsidRPr="0050243A">
        <w:rPr>
          <w:rStyle w:val="Strong"/>
          <w:b w:val="0"/>
          <w:bCs w:val="0"/>
          <w:color w:val="000000" w:themeColor="text1"/>
          <w:sz w:val="20"/>
          <w:szCs w:val="20"/>
        </w:rPr>
        <w:t>exchange rate</w:t>
      </w:r>
      <w:r w:rsidRPr="0050243A">
        <w:rPr>
          <w:color w:val="000000" w:themeColor="text1"/>
          <w:sz w:val="20"/>
          <w:szCs w:val="20"/>
        </w:rPr>
        <w:t xml:space="preserve">, indicating that increases in remittances are strongly associated with significant rises in GDP and exchange rate values. Additionally, remittances exhibit </w:t>
      </w:r>
      <w:r w:rsidRPr="0050243A">
        <w:rPr>
          <w:rStyle w:val="Strong"/>
          <w:b w:val="0"/>
          <w:bCs w:val="0"/>
          <w:color w:val="000000" w:themeColor="text1"/>
          <w:sz w:val="20"/>
          <w:szCs w:val="20"/>
        </w:rPr>
        <w:t>strong positive correlations</w:t>
      </w:r>
      <w:r w:rsidRPr="0050243A">
        <w:rPr>
          <w:color w:val="000000" w:themeColor="text1"/>
          <w:sz w:val="20"/>
          <w:szCs w:val="20"/>
        </w:rPr>
        <w:t xml:space="preserve"> with </w:t>
      </w:r>
      <w:proofErr w:type="spellStart"/>
      <w:r w:rsidRPr="0050243A">
        <w:rPr>
          <w:rStyle w:val="Strong"/>
          <w:b w:val="0"/>
          <w:bCs w:val="0"/>
          <w:color w:val="000000" w:themeColor="text1"/>
          <w:sz w:val="20"/>
          <w:szCs w:val="20"/>
        </w:rPr>
        <w:t>Interest_RS</w:t>
      </w:r>
      <w:proofErr w:type="spellEnd"/>
      <w:r w:rsidRPr="0050243A">
        <w:rPr>
          <w:color w:val="000000" w:themeColor="text1"/>
          <w:sz w:val="20"/>
          <w:szCs w:val="20"/>
        </w:rPr>
        <w:t xml:space="preserve">, </w:t>
      </w:r>
      <w:proofErr w:type="spellStart"/>
      <w:r w:rsidRPr="0050243A">
        <w:rPr>
          <w:rStyle w:val="Strong"/>
          <w:b w:val="0"/>
          <w:bCs w:val="0"/>
          <w:color w:val="000000" w:themeColor="text1"/>
          <w:sz w:val="20"/>
          <w:szCs w:val="20"/>
        </w:rPr>
        <w:t>Political_SAV</w:t>
      </w:r>
      <w:proofErr w:type="spellEnd"/>
      <w:r w:rsidRPr="0050243A">
        <w:rPr>
          <w:color w:val="000000" w:themeColor="text1"/>
          <w:sz w:val="20"/>
          <w:szCs w:val="20"/>
        </w:rPr>
        <w:t xml:space="preserve">, and </w:t>
      </w:r>
      <w:proofErr w:type="spellStart"/>
      <w:r w:rsidRPr="0050243A">
        <w:rPr>
          <w:rStyle w:val="Strong"/>
          <w:b w:val="0"/>
          <w:bCs w:val="0"/>
          <w:color w:val="000000" w:themeColor="text1"/>
          <w:sz w:val="20"/>
          <w:szCs w:val="20"/>
        </w:rPr>
        <w:t>Corruption_C</w:t>
      </w:r>
      <w:proofErr w:type="spellEnd"/>
      <w:r w:rsidRPr="0050243A">
        <w:rPr>
          <w:color w:val="000000" w:themeColor="text1"/>
          <w:sz w:val="20"/>
          <w:szCs w:val="20"/>
        </w:rPr>
        <w:t xml:space="preserve">, with MIC values of </w:t>
      </w:r>
      <w:r w:rsidRPr="0050243A">
        <w:rPr>
          <w:rStyle w:val="Strong"/>
          <w:b w:val="0"/>
          <w:bCs w:val="0"/>
          <w:color w:val="000000" w:themeColor="text1"/>
          <w:sz w:val="20"/>
          <w:szCs w:val="20"/>
        </w:rPr>
        <w:t>0.80</w:t>
      </w:r>
      <w:r w:rsidRPr="0050243A">
        <w:rPr>
          <w:color w:val="000000" w:themeColor="text1"/>
          <w:sz w:val="20"/>
          <w:szCs w:val="20"/>
        </w:rPr>
        <w:t xml:space="preserve">, </w:t>
      </w:r>
      <w:r w:rsidRPr="0050243A">
        <w:rPr>
          <w:rStyle w:val="Strong"/>
          <w:b w:val="0"/>
          <w:bCs w:val="0"/>
          <w:color w:val="000000" w:themeColor="text1"/>
          <w:sz w:val="20"/>
          <w:szCs w:val="20"/>
        </w:rPr>
        <w:t>0.84</w:t>
      </w:r>
      <w:r w:rsidRPr="0050243A">
        <w:rPr>
          <w:color w:val="000000" w:themeColor="text1"/>
          <w:sz w:val="20"/>
          <w:szCs w:val="20"/>
        </w:rPr>
        <w:t xml:space="preserve">, and </w:t>
      </w:r>
      <w:r w:rsidRPr="0050243A">
        <w:rPr>
          <w:rStyle w:val="Strong"/>
          <w:b w:val="0"/>
          <w:bCs w:val="0"/>
          <w:color w:val="000000" w:themeColor="text1"/>
          <w:sz w:val="20"/>
          <w:szCs w:val="20"/>
        </w:rPr>
        <w:t>0.71</w:t>
      </w:r>
      <w:r w:rsidRPr="0050243A">
        <w:rPr>
          <w:color w:val="000000" w:themeColor="text1"/>
          <w:sz w:val="20"/>
          <w:szCs w:val="20"/>
        </w:rPr>
        <w:t xml:space="preserve">, respectively. This suggests that upward trends in remittances are closely aligned with increases in these governance and financial variables. </w:t>
      </w:r>
      <w:r w:rsidRPr="0050243A">
        <w:rPr>
          <w:rStyle w:val="Strong"/>
          <w:b w:val="0"/>
          <w:bCs w:val="0"/>
          <w:color w:val="000000" w:themeColor="text1"/>
          <w:sz w:val="20"/>
          <w:szCs w:val="20"/>
        </w:rPr>
        <w:t>Moderate positive correlations</w:t>
      </w:r>
      <w:r w:rsidRPr="0050243A">
        <w:rPr>
          <w:color w:val="000000" w:themeColor="text1"/>
          <w:sz w:val="20"/>
          <w:szCs w:val="20"/>
        </w:rPr>
        <w:t xml:space="preserve"> are observed between remittances and </w:t>
      </w:r>
      <w:r w:rsidRPr="0050243A">
        <w:rPr>
          <w:rStyle w:val="Strong"/>
          <w:b w:val="0"/>
          <w:bCs w:val="0"/>
          <w:color w:val="000000" w:themeColor="text1"/>
          <w:sz w:val="20"/>
          <w:szCs w:val="20"/>
        </w:rPr>
        <w:t>Unemployment Rate (</w:t>
      </w:r>
      <w:proofErr w:type="spellStart"/>
      <w:r w:rsidRPr="0050243A">
        <w:rPr>
          <w:rStyle w:val="Strong"/>
          <w:b w:val="0"/>
          <w:bCs w:val="0"/>
          <w:color w:val="000000" w:themeColor="text1"/>
          <w:sz w:val="20"/>
          <w:szCs w:val="20"/>
        </w:rPr>
        <w:t>Unem_R</w:t>
      </w:r>
      <w:proofErr w:type="spellEnd"/>
      <w:r w:rsidRPr="0050243A">
        <w:rPr>
          <w:rStyle w:val="Strong"/>
          <w:b w:val="0"/>
          <w:bCs w:val="0"/>
          <w:color w:val="000000" w:themeColor="text1"/>
          <w:sz w:val="20"/>
          <w:szCs w:val="20"/>
        </w:rPr>
        <w:t>)</w:t>
      </w:r>
      <w:r w:rsidRPr="0050243A">
        <w:rPr>
          <w:color w:val="000000" w:themeColor="text1"/>
          <w:sz w:val="20"/>
          <w:szCs w:val="20"/>
        </w:rPr>
        <w:t>,</w:t>
      </w:r>
      <w:r w:rsidRPr="0050243A">
        <w:rPr>
          <w:rStyle w:val="Strong"/>
          <w:b w:val="0"/>
          <w:bCs w:val="0"/>
          <w:color w:val="000000" w:themeColor="text1"/>
          <w:sz w:val="20"/>
          <w:szCs w:val="20"/>
        </w:rPr>
        <w:t xml:space="preserve"> Government Effectiveness (</w:t>
      </w:r>
      <w:proofErr w:type="spellStart"/>
      <w:r w:rsidRPr="0050243A">
        <w:rPr>
          <w:rStyle w:val="Strong"/>
          <w:b w:val="0"/>
          <w:bCs w:val="0"/>
          <w:color w:val="000000" w:themeColor="text1"/>
          <w:sz w:val="20"/>
          <w:szCs w:val="20"/>
        </w:rPr>
        <w:t>Govt_effect</w:t>
      </w:r>
      <w:proofErr w:type="spellEnd"/>
      <w:r w:rsidRPr="0050243A">
        <w:rPr>
          <w:rStyle w:val="Strong"/>
          <w:b w:val="0"/>
          <w:bCs w:val="0"/>
          <w:color w:val="000000" w:themeColor="text1"/>
          <w:sz w:val="20"/>
          <w:szCs w:val="20"/>
        </w:rPr>
        <w:t>)</w:t>
      </w:r>
      <w:r w:rsidRPr="0050243A">
        <w:rPr>
          <w:color w:val="000000" w:themeColor="text1"/>
          <w:sz w:val="20"/>
          <w:szCs w:val="20"/>
        </w:rPr>
        <w:t xml:space="preserve">, and </w:t>
      </w:r>
      <w:r w:rsidRPr="0050243A">
        <w:rPr>
          <w:rStyle w:val="Strong"/>
          <w:b w:val="0"/>
          <w:bCs w:val="0"/>
          <w:color w:val="000000" w:themeColor="text1"/>
          <w:sz w:val="20"/>
          <w:szCs w:val="20"/>
        </w:rPr>
        <w:t>overseas employment growth</w:t>
      </w:r>
      <w:r w:rsidRPr="0050243A">
        <w:rPr>
          <w:color w:val="000000" w:themeColor="text1"/>
          <w:sz w:val="20"/>
          <w:szCs w:val="20"/>
        </w:rPr>
        <w:t xml:space="preserve">, with respective MIC values of </w:t>
      </w:r>
      <w:r w:rsidRPr="0050243A">
        <w:rPr>
          <w:rStyle w:val="Strong"/>
          <w:b w:val="0"/>
          <w:bCs w:val="0"/>
          <w:color w:val="000000" w:themeColor="text1"/>
          <w:sz w:val="20"/>
          <w:szCs w:val="20"/>
        </w:rPr>
        <w:t>0.55</w:t>
      </w:r>
      <w:r w:rsidRPr="0050243A">
        <w:rPr>
          <w:color w:val="000000" w:themeColor="text1"/>
          <w:sz w:val="20"/>
          <w:szCs w:val="20"/>
        </w:rPr>
        <w:t xml:space="preserve">, </w:t>
      </w:r>
      <w:r w:rsidRPr="0050243A">
        <w:rPr>
          <w:rStyle w:val="Strong"/>
          <w:b w:val="0"/>
          <w:bCs w:val="0"/>
          <w:color w:val="000000" w:themeColor="text1"/>
          <w:sz w:val="20"/>
          <w:szCs w:val="20"/>
        </w:rPr>
        <w:t>0.51</w:t>
      </w:r>
      <w:r w:rsidRPr="0050243A">
        <w:rPr>
          <w:color w:val="000000" w:themeColor="text1"/>
          <w:sz w:val="20"/>
          <w:szCs w:val="20"/>
        </w:rPr>
        <w:t xml:space="preserve">, and </w:t>
      </w:r>
      <w:r w:rsidRPr="0050243A">
        <w:rPr>
          <w:rStyle w:val="Strong"/>
          <w:b w:val="0"/>
          <w:bCs w:val="0"/>
          <w:color w:val="000000" w:themeColor="text1"/>
          <w:sz w:val="20"/>
          <w:szCs w:val="20"/>
        </w:rPr>
        <w:t>0.64</w:t>
      </w:r>
      <w:r w:rsidRPr="0050243A">
        <w:rPr>
          <w:color w:val="000000" w:themeColor="text1"/>
          <w:sz w:val="20"/>
          <w:szCs w:val="20"/>
        </w:rPr>
        <w:t xml:space="preserve">. These findings indicate that remittance increases moderately coincide with upward </w:t>
      </w:r>
      <w:r w:rsidRPr="0050243A">
        <w:rPr>
          <w:color w:val="000000" w:themeColor="text1"/>
          <w:sz w:val="20"/>
          <w:szCs w:val="20"/>
        </w:rPr>
        <w:lastRenderedPageBreak/>
        <w:t xml:space="preserve">movements in these indicators. Lastly, a </w:t>
      </w:r>
      <w:r w:rsidRPr="0050243A">
        <w:rPr>
          <w:rStyle w:val="Strong"/>
          <w:b w:val="0"/>
          <w:bCs w:val="0"/>
          <w:color w:val="000000" w:themeColor="text1"/>
          <w:sz w:val="20"/>
          <w:szCs w:val="20"/>
        </w:rPr>
        <w:t>weak positive correlation</w:t>
      </w:r>
      <w:r w:rsidRPr="0050243A">
        <w:rPr>
          <w:color w:val="000000" w:themeColor="text1"/>
          <w:sz w:val="20"/>
          <w:szCs w:val="20"/>
        </w:rPr>
        <w:t xml:space="preserve"> of </w:t>
      </w:r>
      <w:r w:rsidRPr="0050243A">
        <w:rPr>
          <w:rStyle w:val="Strong"/>
          <w:b w:val="0"/>
          <w:bCs w:val="0"/>
          <w:color w:val="000000" w:themeColor="text1"/>
          <w:sz w:val="20"/>
          <w:szCs w:val="20"/>
        </w:rPr>
        <w:t>0.33</w:t>
      </w:r>
      <w:r w:rsidRPr="0050243A">
        <w:rPr>
          <w:color w:val="000000" w:themeColor="text1"/>
          <w:sz w:val="20"/>
          <w:szCs w:val="20"/>
        </w:rPr>
        <w:t xml:space="preserve"> is found between </w:t>
      </w:r>
      <w:r w:rsidRPr="0050243A">
        <w:rPr>
          <w:rStyle w:val="Strong"/>
          <w:b w:val="0"/>
          <w:bCs w:val="0"/>
          <w:color w:val="000000" w:themeColor="text1"/>
          <w:sz w:val="20"/>
          <w:szCs w:val="20"/>
        </w:rPr>
        <w:t>remittances</w:t>
      </w:r>
      <w:r w:rsidRPr="0050243A">
        <w:rPr>
          <w:color w:val="000000" w:themeColor="text1"/>
          <w:sz w:val="20"/>
          <w:szCs w:val="20"/>
        </w:rPr>
        <w:t xml:space="preserve"> and </w:t>
      </w:r>
      <w:r w:rsidRPr="0050243A">
        <w:rPr>
          <w:rStyle w:val="Strong"/>
          <w:b w:val="0"/>
          <w:bCs w:val="0"/>
          <w:color w:val="000000" w:themeColor="text1"/>
          <w:sz w:val="20"/>
          <w:szCs w:val="20"/>
        </w:rPr>
        <w:t>inflation</w:t>
      </w:r>
      <w:r w:rsidRPr="0050243A">
        <w:rPr>
          <w:color w:val="000000" w:themeColor="text1"/>
          <w:sz w:val="20"/>
          <w:szCs w:val="20"/>
        </w:rPr>
        <w:t>, implying that periods of higher inflation are only mildly associated with higher levels of remittance inflows.</w:t>
      </w:r>
    </w:p>
    <w:p w14:paraId="4A47D610" w14:textId="77777777" w:rsidR="00191ABF" w:rsidRPr="0050243A" w:rsidRDefault="00191ABF" w:rsidP="008546EF">
      <w:pPr>
        <w:pStyle w:val="NormalWeb"/>
        <w:spacing w:before="0" w:beforeAutospacing="0" w:after="0" w:afterAutospacing="0"/>
        <w:ind w:right="78"/>
        <w:jc w:val="both"/>
        <w:rPr>
          <w:color w:val="000000" w:themeColor="text1"/>
          <w:sz w:val="20"/>
          <w:szCs w:val="20"/>
        </w:rPr>
      </w:pPr>
    </w:p>
    <w:p w14:paraId="40EC11BC" w14:textId="77777777" w:rsidR="00191ABF" w:rsidRPr="0050243A" w:rsidRDefault="00191ABF" w:rsidP="008546EF">
      <w:pPr>
        <w:ind w:right="78"/>
        <w:jc w:val="center"/>
        <w:rPr>
          <w:color w:val="000000" w:themeColor="text1"/>
          <w:sz w:val="20"/>
          <w:szCs w:val="20"/>
        </w:rPr>
      </w:pPr>
      <w:r w:rsidRPr="0050243A">
        <w:rPr>
          <w:noProof/>
          <w:color w:val="000000" w:themeColor="text1"/>
          <w:sz w:val="20"/>
          <w:szCs w:val="20"/>
        </w:rPr>
        <w:drawing>
          <wp:inline distT="0" distB="0" distL="0" distR="0" wp14:anchorId="6A19F6E2" wp14:editId="0B7C4155">
            <wp:extent cx="3733512" cy="24361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02013" cy="2480796"/>
                    </a:xfrm>
                    <a:prstGeom prst="rect">
                      <a:avLst/>
                    </a:prstGeom>
                  </pic:spPr>
                </pic:pic>
              </a:graphicData>
            </a:graphic>
          </wp:inline>
        </w:drawing>
      </w:r>
    </w:p>
    <w:p w14:paraId="3B711EAE" w14:textId="77777777" w:rsidR="00191ABF" w:rsidRPr="0050243A" w:rsidRDefault="00191ABF" w:rsidP="008546EF">
      <w:pPr>
        <w:ind w:right="78"/>
        <w:jc w:val="center"/>
        <w:rPr>
          <w:color w:val="000000" w:themeColor="text1"/>
          <w:sz w:val="20"/>
          <w:szCs w:val="20"/>
        </w:rPr>
      </w:pPr>
    </w:p>
    <w:p w14:paraId="7DB2DAB0" w14:textId="0FB05391" w:rsidR="00191ABF" w:rsidRDefault="00191ABF" w:rsidP="008546EF">
      <w:pPr>
        <w:pStyle w:val="NormalWeb"/>
        <w:spacing w:before="0" w:beforeAutospacing="0" w:after="0" w:afterAutospacing="0"/>
        <w:ind w:right="78"/>
        <w:jc w:val="center"/>
        <w:rPr>
          <w:color w:val="000000" w:themeColor="text1"/>
          <w:sz w:val="20"/>
          <w:szCs w:val="20"/>
        </w:rPr>
      </w:pPr>
      <w:r w:rsidRPr="0050243A">
        <w:rPr>
          <w:b/>
          <w:bCs/>
          <w:color w:val="000000" w:themeColor="text1"/>
          <w:sz w:val="20"/>
          <w:szCs w:val="20"/>
        </w:rPr>
        <w:t>Figure 2</w:t>
      </w:r>
      <w:r w:rsidR="00E26A69">
        <w:rPr>
          <w:b/>
          <w:bCs/>
          <w:color w:val="000000" w:themeColor="text1"/>
          <w:sz w:val="20"/>
          <w:szCs w:val="20"/>
        </w:rPr>
        <w:t>.</w:t>
      </w:r>
      <w:r w:rsidRPr="0050243A">
        <w:rPr>
          <w:color w:val="000000" w:themeColor="text1"/>
          <w:sz w:val="20"/>
          <w:szCs w:val="20"/>
        </w:rPr>
        <w:t xml:space="preserve"> MIC </w:t>
      </w:r>
      <w:r w:rsidR="008546EF">
        <w:rPr>
          <w:color w:val="000000" w:themeColor="text1"/>
          <w:sz w:val="20"/>
          <w:szCs w:val="20"/>
        </w:rPr>
        <w:t>H</w:t>
      </w:r>
      <w:r w:rsidRPr="0050243A">
        <w:rPr>
          <w:color w:val="000000" w:themeColor="text1"/>
          <w:sz w:val="20"/>
          <w:szCs w:val="20"/>
        </w:rPr>
        <w:t xml:space="preserve">eatmap </w:t>
      </w:r>
      <w:r w:rsidR="008546EF">
        <w:rPr>
          <w:color w:val="000000" w:themeColor="text1"/>
          <w:sz w:val="20"/>
          <w:szCs w:val="20"/>
        </w:rPr>
        <w:t>I</w:t>
      </w:r>
      <w:r w:rsidRPr="0050243A">
        <w:rPr>
          <w:color w:val="000000" w:themeColor="text1"/>
          <w:sz w:val="20"/>
          <w:szCs w:val="20"/>
        </w:rPr>
        <w:t xml:space="preserve">llustrating </w:t>
      </w:r>
      <w:r w:rsidR="008546EF">
        <w:rPr>
          <w:color w:val="000000" w:themeColor="text1"/>
          <w:sz w:val="20"/>
          <w:szCs w:val="20"/>
        </w:rPr>
        <w:t>P</w:t>
      </w:r>
      <w:r w:rsidRPr="0050243A">
        <w:rPr>
          <w:color w:val="000000" w:themeColor="text1"/>
          <w:sz w:val="20"/>
          <w:szCs w:val="20"/>
        </w:rPr>
        <w:t xml:space="preserve">airwise </w:t>
      </w:r>
      <w:r w:rsidR="008546EF">
        <w:rPr>
          <w:color w:val="000000" w:themeColor="text1"/>
          <w:sz w:val="20"/>
          <w:szCs w:val="20"/>
        </w:rPr>
        <w:t>A</w:t>
      </w:r>
      <w:r w:rsidRPr="0050243A">
        <w:rPr>
          <w:color w:val="000000" w:themeColor="text1"/>
          <w:sz w:val="20"/>
          <w:szCs w:val="20"/>
        </w:rPr>
        <w:t xml:space="preserve">ssociations </w:t>
      </w:r>
      <w:r w:rsidR="008546EF">
        <w:rPr>
          <w:color w:val="000000" w:themeColor="text1"/>
          <w:sz w:val="20"/>
          <w:szCs w:val="20"/>
        </w:rPr>
        <w:t>B</w:t>
      </w:r>
      <w:r w:rsidRPr="0050243A">
        <w:rPr>
          <w:color w:val="000000" w:themeColor="text1"/>
          <w:sz w:val="20"/>
          <w:szCs w:val="20"/>
        </w:rPr>
        <w:t xml:space="preserve">etween Remittances with </w:t>
      </w:r>
      <w:r w:rsidR="008546EF">
        <w:rPr>
          <w:color w:val="000000" w:themeColor="text1"/>
          <w:sz w:val="20"/>
          <w:szCs w:val="20"/>
        </w:rPr>
        <w:t>S</w:t>
      </w:r>
      <w:r w:rsidRPr="0050243A">
        <w:rPr>
          <w:color w:val="000000" w:themeColor="text1"/>
          <w:sz w:val="20"/>
          <w:szCs w:val="20"/>
        </w:rPr>
        <w:t xml:space="preserve">elected </w:t>
      </w:r>
      <w:r w:rsidR="008546EF">
        <w:rPr>
          <w:color w:val="000000" w:themeColor="text1"/>
          <w:sz w:val="20"/>
          <w:szCs w:val="20"/>
        </w:rPr>
        <w:t>I</w:t>
      </w:r>
      <w:r w:rsidRPr="0050243A">
        <w:rPr>
          <w:color w:val="000000" w:themeColor="text1"/>
          <w:sz w:val="20"/>
          <w:szCs w:val="20"/>
        </w:rPr>
        <w:t>ndicators</w:t>
      </w:r>
    </w:p>
    <w:p w14:paraId="7D9B369B" w14:textId="77777777" w:rsidR="008546EF" w:rsidRPr="0050243A" w:rsidRDefault="008546EF" w:rsidP="008546EF">
      <w:pPr>
        <w:pStyle w:val="NormalWeb"/>
        <w:spacing w:before="0" w:beforeAutospacing="0" w:after="0" w:afterAutospacing="0"/>
        <w:ind w:right="78"/>
        <w:jc w:val="center"/>
        <w:rPr>
          <w:color w:val="000000" w:themeColor="text1"/>
          <w:sz w:val="20"/>
          <w:szCs w:val="20"/>
        </w:rPr>
      </w:pPr>
    </w:p>
    <w:p w14:paraId="517C9E34" w14:textId="77777777" w:rsidR="00191ABF" w:rsidRPr="0050243A" w:rsidRDefault="00191ABF" w:rsidP="008546EF">
      <w:pPr>
        <w:pStyle w:val="NormalWeb"/>
        <w:spacing w:before="0" w:beforeAutospacing="0" w:after="0" w:afterAutospacing="0" w:line="324" w:lineRule="auto"/>
        <w:ind w:right="78"/>
        <w:jc w:val="both"/>
        <w:rPr>
          <w:color w:val="000000" w:themeColor="text1"/>
          <w:sz w:val="20"/>
          <w:szCs w:val="20"/>
        </w:rPr>
      </w:pPr>
      <w:r w:rsidRPr="0050243A">
        <w:rPr>
          <w:rStyle w:val="Strong"/>
          <w:b w:val="0"/>
          <w:bCs w:val="0"/>
          <w:color w:val="000000" w:themeColor="text1"/>
          <w:sz w:val="20"/>
          <w:szCs w:val="20"/>
        </w:rPr>
        <w:t>Figure 3</w:t>
      </w:r>
      <w:r w:rsidRPr="0050243A">
        <w:rPr>
          <w:color w:val="000000" w:themeColor="text1"/>
          <w:sz w:val="20"/>
          <w:szCs w:val="20"/>
        </w:rPr>
        <w:t xml:space="preserve"> presents the </w:t>
      </w:r>
      <w:r w:rsidRPr="0050243A">
        <w:rPr>
          <w:rStyle w:val="Strong"/>
          <w:b w:val="0"/>
          <w:bCs w:val="0"/>
          <w:color w:val="000000" w:themeColor="text1"/>
          <w:sz w:val="20"/>
          <w:szCs w:val="20"/>
        </w:rPr>
        <w:t>time series plot</w:t>
      </w:r>
      <w:r w:rsidRPr="0050243A">
        <w:rPr>
          <w:color w:val="000000" w:themeColor="text1"/>
          <w:sz w:val="20"/>
          <w:szCs w:val="20"/>
        </w:rPr>
        <w:t xml:space="preserve"> of </w:t>
      </w:r>
      <w:r w:rsidRPr="0050243A">
        <w:rPr>
          <w:rStyle w:val="Strong"/>
          <w:b w:val="0"/>
          <w:bCs w:val="0"/>
          <w:color w:val="000000" w:themeColor="text1"/>
          <w:sz w:val="20"/>
          <w:szCs w:val="20"/>
        </w:rPr>
        <w:t>personal remittances received</w:t>
      </w:r>
      <w:r w:rsidRPr="0050243A">
        <w:rPr>
          <w:color w:val="000000" w:themeColor="text1"/>
          <w:sz w:val="20"/>
          <w:szCs w:val="20"/>
        </w:rPr>
        <w:t xml:space="preserve"> from </w:t>
      </w:r>
      <w:r w:rsidRPr="0050243A">
        <w:rPr>
          <w:rStyle w:val="Strong"/>
          <w:b w:val="0"/>
          <w:bCs w:val="0"/>
          <w:color w:val="000000" w:themeColor="text1"/>
          <w:sz w:val="20"/>
          <w:szCs w:val="20"/>
        </w:rPr>
        <w:t>1996 to 2023</w:t>
      </w:r>
      <w:r w:rsidRPr="0050243A">
        <w:rPr>
          <w:color w:val="000000" w:themeColor="text1"/>
          <w:sz w:val="20"/>
          <w:szCs w:val="20"/>
        </w:rPr>
        <w:t xml:space="preserve">. The data demonstrate noticeable fluctuations over time, marked by alternating periods of increase and decline. From the </w:t>
      </w:r>
      <w:r w:rsidRPr="0050243A">
        <w:rPr>
          <w:rStyle w:val="Strong"/>
          <w:b w:val="0"/>
          <w:bCs w:val="0"/>
          <w:color w:val="000000" w:themeColor="text1"/>
          <w:sz w:val="20"/>
          <w:szCs w:val="20"/>
        </w:rPr>
        <w:t>late 1996s to the early 2010s</w:t>
      </w:r>
      <w:r w:rsidRPr="0050243A">
        <w:rPr>
          <w:color w:val="000000" w:themeColor="text1"/>
          <w:sz w:val="20"/>
          <w:szCs w:val="20"/>
        </w:rPr>
        <w:t xml:space="preserve">, remittances followed a generally </w:t>
      </w:r>
      <w:r w:rsidRPr="0050243A">
        <w:rPr>
          <w:rStyle w:val="Strong"/>
          <w:b w:val="0"/>
          <w:bCs w:val="0"/>
          <w:color w:val="000000" w:themeColor="text1"/>
          <w:sz w:val="20"/>
          <w:szCs w:val="20"/>
        </w:rPr>
        <w:t>upward trend</w:t>
      </w:r>
      <w:r w:rsidRPr="0050243A">
        <w:rPr>
          <w:color w:val="000000" w:themeColor="text1"/>
          <w:sz w:val="20"/>
          <w:szCs w:val="20"/>
        </w:rPr>
        <w:t xml:space="preserve">, ranging between </w:t>
      </w:r>
      <w:r w:rsidRPr="0050243A">
        <w:rPr>
          <w:rStyle w:val="Strong"/>
          <w:b w:val="0"/>
          <w:bCs w:val="0"/>
          <w:color w:val="000000" w:themeColor="text1"/>
          <w:sz w:val="20"/>
          <w:szCs w:val="20"/>
        </w:rPr>
        <w:t>1.3446</w:t>
      </w:r>
      <w:r w:rsidRPr="0050243A">
        <w:rPr>
          <w:color w:val="000000" w:themeColor="text1"/>
          <w:sz w:val="20"/>
          <w:szCs w:val="20"/>
        </w:rPr>
        <w:t xml:space="preserve"> and </w:t>
      </w:r>
      <w:r w:rsidRPr="0050243A">
        <w:rPr>
          <w:rStyle w:val="Strong"/>
          <w:b w:val="0"/>
          <w:bCs w:val="0"/>
          <w:color w:val="000000" w:themeColor="text1"/>
          <w:sz w:val="20"/>
          <w:szCs w:val="20"/>
        </w:rPr>
        <w:t>10.8502</w:t>
      </w:r>
      <w:r w:rsidRPr="0050243A">
        <w:rPr>
          <w:color w:val="000000" w:themeColor="text1"/>
          <w:sz w:val="20"/>
          <w:szCs w:val="20"/>
        </w:rPr>
        <w:t xml:space="preserve"> (current US$ in billions). </w:t>
      </w:r>
    </w:p>
    <w:p w14:paraId="34CE0BEE" w14:textId="77777777" w:rsidR="00191ABF" w:rsidRPr="0050243A" w:rsidRDefault="00191ABF" w:rsidP="008546EF">
      <w:pPr>
        <w:pStyle w:val="NormalWeb"/>
        <w:spacing w:before="0" w:beforeAutospacing="0" w:after="0" w:afterAutospacing="0"/>
        <w:ind w:right="78"/>
        <w:jc w:val="both"/>
        <w:rPr>
          <w:color w:val="000000" w:themeColor="text1"/>
          <w:sz w:val="20"/>
          <w:szCs w:val="20"/>
        </w:rPr>
      </w:pPr>
    </w:p>
    <w:p w14:paraId="5FAC7789" w14:textId="77777777" w:rsidR="00191ABF" w:rsidRPr="0050243A" w:rsidRDefault="00191ABF" w:rsidP="008546EF">
      <w:pPr>
        <w:ind w:right="78"/>
        <w:jc w:val="center"/>
        <w:rPr>
          <w:color w:val="000000" w:themeColor="text1"/>
          <w:sz w:val="20"/>
          <w:szCs w:val="20"/>
        </w:rPr>
      </w:pPr>
      <w:r w:rsidRPr="0050243A">
        <w:rPr>
          <w:noProof/>
          <w:color w:val="000000" w:themeColor="text1"/>
          <w:sz w:val="20"/>
          <w:szCs w:val="20"/>
        </w:rPr>
        <w:drawing>
          <wp:inline distT="0" distB="0" distL="0" distR="0" wp14:anchorId="6DF488FA" wp14:editId="3CC534CB">
            <wp:extent cx="4182086" cy="2142801"/>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4217437" cy="2160914"/>
                    </a:xfrm>
                    <a:prstGeom prst="rect">
                      <a:avLst/>
                    </a:prstGeom>
                  </pic:spPr>
                </pic:pic>
              </a:graphicData>
            </a:graphic>
          </wp:inline>
        </w:drawing>
      </w:r>
    </w:p>
    <w:p w14:paraId="7672A6F2" w14:textId="2BA4011D" w:rsidR="00191ABF" w:rsidRPr="0050243A" w:rsidRDefault="00191ABF" w:rsidP="008546EF">
      <w:pPr>
        <w:pStyle w:val="BodyText"/>
        <w:spacing w:after="0"/>
        <w:ind w:right="78"/>
        <w:jc w:val="center"/>
        <w:rPr>
          <w:color w:val="000000" w:themeColor="text1"/>
          <w:spacing w:val="-2"/>
          <w:sz w:val="20"/>
          <w:szCs w:val="20"/>
        </w:rPr>
      </w:pPr>
      <w:r w:rsidRPr="0050243A">
        <w:rPr>
          <w:b/>
          <w:bCs/>
          <w:color w:val="000000" w:themeColor="text1"/>
          <w:sz w:val="20"/>
          <w:szCs w:val="20"/>
        </w:rPr>
        <w:t>Figure</w:t>
      </w:r>
      <w:r w:rsidRPr="0050243A">
        <w:rPr>
          <w:b/>
          <w:bCs/>
          <w:color w:val="000000" w:themeColor="text1"/>
          <w:spacing w:val="-2"/>
          <w:sz w:val="20"/>
          <w:szCs w:val="20"/>
        </w:rPr>
        <w:t xml:space="preserve"> </w:t>
      </w:r>
      <w:r w:rsidRPr="0050243A">
        <w:rPr>
          <w:b/>
          <w:bCs/>
          <w:color w:val="000000" w:themeColor="text1"/>
          <w:sz w:val="20"/>
          <w:szCs w:val="20"/>
        </w:rPr>
        <w:t>3</w:t>
      </w:r>
      <w:r w:rsidR="008546EF">
        <w:rPr>
          <w:b/>
          <w:bCs/>
          <w:color w:val="000000" w:themeColor="text1"/>
          <w:sz w:val="20"/>
          <w:szCs w:val="20"/>
        </w:rPr>
        <w:t>.</w:t>
      </w:r>
      <w:r w:rsidRPr="0050243A">
        <w:rPr>
          <w:color w:val="000000" w:themeColor="text1"/>
          <w:spacing w:val="-1"/>
          <w:sz w:val="20"/>
          <w:szCs w:val="20"/>
        </w:rPr>
        <w:t xml:space="preserve"> </w:t>
      </w:r>
      <w:r w:rsidRPr="0050243A">
        <w:rPr>
          <w:color w:val="000000" w:themeColor="text1"/>
          <w:sz w:val="20"/>
          <w:szCs w:val="20"/>
        </w:rPr>
        <w:t>Time</w:t>
      </w:r>
      <w:r w:rsidRPr="0050243A">
        <w:rPr>
          <w:color w:val="000000" w:themeColor="text1"/>
          <w:spacing w:val="-1"/>
          <w:sz w:val="20"/>
          <w:szCs w:val="20"/>
        </w:rPr>
        <w:t xml:space="preserve"> </w:t>
      </w:r>
      <w:r w:rsidR="008546EF">
        <w:rPr>
          <w:color w:val="000000" w:themeColor="text1"/>
          <w:sz w:val="20"/>
          <w:szCs w:val="20"/>
        </w:rPr>
        <w:t>S</w:t>
      </w:r>
      <w:r w:rsidRPr="0050243A">
        <w:rPr>
          <w:color w:val="000000" w:themeColor="text1"/>
          <w:sz w:val="20"/>
          <w:szCs w:val="20"/>
        </w:rPr>
        <w:t xml:space="preserve">eries </w:t>
      </w:r>
      <w:r w:rsidR="008546EF">
        <w:rPr>
          <w:color w:val="000000" w:themeColor="text1"/>
          <w:sz w:val="20"/>
          <w:szCs w:val="20"/>
        </w:rPr>
        <w:t>P</w:t>
      </w:r>
      <w:r w:rsidRPr="0050243A">
        <w:rPr>
          <w:color w:val="000000" w:themeColor="text1"/>
          <w:sz w:val="20"/>
          <w:szCs w:val="20"/>
        </w:rPr>
        <w:t>lot of</w:t>
      </w:r>
      <w:r w:rsidRPr="0050243A">
        <w:rPr>
          <w:color w:val="000000" w:themeColor="text1"/>
          <w:spacing w:val="-1"/>
          <w:sz w:val="20"/>
          <w:szCs w:val="20"/>
        </w:rPr>
        <w:t xml:space="preserve"> </w:t>
      </w:r>
      <w:r w:rsidRPr="0050243A">
        <w:rPr>
          <w:color w:val="000000" w:themeColor="text1"/>
          <w:sz w:val="20"/>
          <w:szCs w:val="20"/>
        </w:rPr>
        <w:t>Remittances</w:t>
      </w:r>
      <w:r w:rsidRPr="0050243A">
        <w:rPr>
          <w:color w:val="000000" w:themeColor="text1"/>
          <w:spacing w:val="1"/>
          <w:sz w:val="20"/>
          <w:szCs w:val="20"/>
        </w:rPr>
        <w:t xml:space="preserve"> </w:t>
      </w:r>
      <w:r w:rsidR="008546EF">
        <w:rPr>
          <w:color w:val="000000" w:themeColor="text1"/>
          <w:sz w:val="20"/>
          <w:szCs w:val="20"/>
        </w:rPr>
        <w:t>O</w:t>
      </w:r>
      <w:r w:rsidRPr="0050243A">
        <w:rPr>
          <w:color w:val="000000" w:themeColor="text1"/>
          <w:sz w:val="20"/>
          <w:szCs w:val="20"/>
        </w:rPr>
        <w:t>ver</w:t>
      </w:r>
      <w:r w:rsidRPr="0050243A">
        <w:rPr>
          <w:color w:val="000000" w:themeColor="text1"/>
          <w:spacing w:val="-1"/>
          <w:sz w:val="20"/>
          <w:szCs w:val="20"/>
        </w:rPr>
        <w:t xml:space="preserve"> </w:t>
      </w:r>
      <w:r w:rsidRPr="0050243A">
        <w:rPr>
          <w:color w:val="000000" w:themeColor="text1"/>
          <w:sz w:val="20"/>
          <w:szCs w:val="20"/>
        </w:rPr>
        <w:t>the</w:t>
      </w:r>
      <w:r w:rsidRPr="0050243A">
        <w:rPr>
          <w:color w:val="000000" w:themeColor="text1"/>
          <w:spacing w:val="-1"/>
          <w:sz w:val="20"/>
          <w:szCs w:val="20"/>
        </w:rPr>
        <w:t xml:space="preserve"> </w:t>
      </w:r>
      <w:r w:rsidR="008546EF">
        <w:rPr>
          <w:color w:val="000000" w:themeColor="text1"/>
          <w:sz w:val="20"/>
          <w:szCs w:val="20"/>
        </w:rPr>
        <w:t>S</w:t>
      </w:r>
      <w:r w:rsidRPr="0050243A">
        <w:rPr>
          <w:color w:val="000000" w:themeColor="text1"/>
          <w:sz w:val="20"/>
          <w:szCs w:val="20"/>
        </w:rPr>
        <w:t>tudy</w:t>
      </w:r>
      <w:r w:rsidRPr="0050243A">
        <w:rPr>
          <w:color w:val="000000" w:themeColor="text1"/>
          <w:spacing w:val="-5"/>
          <w:sz w:val="20"/>
          <w:szCs w:val="20"/>
        </w:rPr>
        <w:t xml:space="preserve"> </w:t>
      </w:r>
      <w:r w:rsidR="008546EF">
        <w:rPr>
          <w:color w:val="000000" w:themeColor="text1"/>
          <w:spacing w:val="-2"/>
          <w:sz w:val="20"/>
          <w:szCs w:val="20"/>
        </w:rPr>
        <w:t>P</w:t>
      </w:r>
      <w:r w:rsidRPr="0050243A">
        <w:rPr>
          <w:color w:val="000000" w:themeColor="text1"/>
          <w:spacing w:val="-2"/>
          <w:sz w:val="20"/>
          <w:szCs w:val="20"/>
        </w:rPr>
        <w:t>eriod</w:t>
      </w:r>
    </w:p>
    <w:p w14:paraId="277B8C80" w14:textId="77777777" w:rsidR="00191ABF" w:rsidRPr="0050243A" w:rsidRDefault="00191ABF" w:rsidP="008546EF">
      <w:pPr>
        <w:pStyle w:val="BodyText"/>
        <w:spacing w:after="0"/>
        <w:ind w:right="78"/>
        <w:rPr>
          <w:color w:val="000000" w:themeColor="text1"/>
          <w:spacing w:val="-2"/>
          <w:sz w:val="20"/>
          <w:szCs w:val="20"/>
        </w:rPr>
      </w:pPr>
    </w:p>
    <w:p w14:paraId="49C9C445" w14:textId="77777777" w:rsidR="00191ABF" w:rsidRDefault="00191ABF" w:rsidP="008546EF">
      <w:pPr>
        <w:pStyle w:val="NormalWeb"/>
        <w:spacing w:before="0" w:beforeAutospacing="0" w:after="0" w:afterAutospacing="0" w:line="324" w:lineRule="auto"/>
        <w:ind w:right="78"/>
        <w:jc w:val="both"/>
        <w:rPr>
          <w:color w:val="000000" w:themeColor="text1"/>
          <w:sz w:val="20"/>
          <w:szCs w:val="20"/>
        </w:rPr>
      </w:pPr>
      <w:r w:rsidRPr="0050243A">
        <w:rPr>
          <w:color w:val="000000" w:themeColor="text1"/>
          <w:sz w:val="20"/>
          <w:szCs w:val="20"/>
        </w:rPr>
        <w:lastRenderedPageBreak/>
        <w:t xml:space="preserve">Beginning in the </w:t>
      </w:r>
      <w:r w:rsidRPr="0050243A">
        <w:rPr>
          <w:rStyle w:val="Strong"/>
          <w:b w:val="0"/>
          <w:bCs w:val="0"/>
          <w:color w:val="000000" w:themeColor="text1"/>
          <w:sz w:val="20"/>
          <w:szCs w:val="20"/>
        </w:rPr>
        <w:t>mid-2010s</w:t>
      </w:r>
      <w:r w:rsidRPr="0050243A">
        <w:rPr>
          <w:color w:val="000000" w:themeColor="text1"/>
          <w:sz w:val="20"/>
          <w:szCs w:val="20"/>
        </w:rPr>
        <w:t xml:space="preserve">, the growth in remittances became more </w:t>
      </w:r>
      <w:r w:rsidRPr="0050243A">
        <w:rPr>
          <w:rStyle w:val="Strong"/>
          <w:b w:val="0"/>
          <w:bCs w:val="0"/>
          <w:color w:val="000000" w:themeColor="text1"/>
          <w:sz w:val="20"/>
          <w:szCs w:val="20"/>
        </w:rPr>
        <w:t>consistent</w:t>
      </w:r>
      <w:r w:rsidRPr="0050243A">
        <w:rPr>
          <w:color w:val="000000" w:themeColor="text1"/>
          <w:sz w:val="20"/>
          <w:szCs w:val="20"/>
        </w:rPr>
        <w:t xml:space="preserve">, reaching approximately </w:t>
      </w:r>
      <w:r w:rsidRPr="0050243A">
        <w:rPr>
          <w:rStyle w:val="Strong"/>
          <w:b w:val="0"/>
          <w:bCs w:val="0"/>
          <w:color w:val="000000" w:themeColor="text1"/>
          <w:sz w:val="20"/>
          <w:szCs w:val="20"/>
        </w:rPr>
        <w:t>15.2955</w:t>
      </w:r>
      <w:r w:rsidRPr="0050243A">
        <w:rPr>
          <w:color w:val="000000" w:themeColor="text1"/>
          <w:sz w:val="20"/>
          <w:szCs w:val="20"/>
        </w:rPr>
        <w:t xml:space="preserve"> by the </w:t>
      </w:r>
      <w:r w:rsidRPr="0050243A">
        <w:rPr>
          <w:rStyle w:val="Strong"/>
          <w:b w:val="0"/>
          <w:bCs w:val="0"/>
          <w:color w:val="000000" w:themeColor="text1"/>
          <w:sz w:val="20"/>
          <w:szCs w:val="20"/>
        </w:rPr>
        <w:t>late 2010s</w:t>
      </w:r>
      <w:r w:rsidRPr="0050243A">
        <w:rPr>
          <w:color w:val="000000" w:themeColor="text1"/>
          <w:sz w:val="20"/>
          <w:szCs w:val="20"/>
        </w:rPr>
        <w:t xml:space="preserve">. A sharp decline occurred in the </w:t>
      </w:r>
      <w:r w:rsidRPr="0050243A">
        <w:rPr>
          <w:rStyle w:val="Strong"/>
          <w:b w:val="0"/>
          <w:bCs w:val="0"/>
          <w:color w:val="000000" w:themeColor="text1"/>
          <w:sz w:val="20"/>
          <w:szCs w:val="20"/>
        </w:rPr>
        <w:t>early 2016s</w:t>
      </w:r>
      <w:r w:rsidRPr="0050243A">
        <w:rPr>
          <w:color w:val="000000" w:themeColor="text1"/>
          <w:sz w:val="20"/>
          <w:szCs w:val="20"/>
        </w:rPr>
        <w:t xml:space="preserve">, with remittances falling to around </w:t>
      </w:r>
      <w:r w:rsidRPr="0050243A">
        <w:rPr>
          <w:rStyle w:val="Strong"/>
          <w:b w:val="0"/>
          <w:bCs w:val="0"/>
          <w:color w:val="000000" w:themeColor="text1"/>
          <w:sz w:val="20"/>
          <w:szCs w:val="20"/>
        </w:rPr>
        <w:t>13.5342</w:t>
      </w:r>
      <w:r w:rsidRPr="0050243A">
        <w:rPr>
          <w:color w:val="000000" w:themeColor="text1"/>
          <w:sz w:val="20"/>
          <w:szCs w:val="20"/>
        </w:rPr>
        <w:t xml:space="preserve">, followed by a further slight decrease in </w:t>
      </w:r>
      <w:r w:rsidRPr="0050243A">
        <w:rPr>
          <w:rStyle w:val="Strong"/>
          <w:b w:val="0"/>
          <w:bCs w:val="0"/>
          <w:color w:val="000000" w:themeColor="text1"/>
          <w:sz w:val="20"/>
          <w:szCs w:val="20"/>
        </w:rPr>
        <w:t>early 2017</w:t>
      </w:r>
      <w:r w:rsidRPr="0050243A">
        <w:rPr>
          <w:color w:val="000000" w:themeColor="text1"/>
          <w:sz w:val="20"/>
          <w:szCs w:val="20"/>
        </w:rPr>
        <w:t xml:space="preserve">, reaching approximately </w:t>
      </w:r>
      <w:r w:rsidRPr="0050243A">
        <w:rPr>
          <w:rStyle w:val="Strong"/>
          <w:b w:val="0"/>
          <w:bCs w:val="0"/>
          <w:color w:val="000000" w:themeColor="text1"/>
          <w:sz w:val="20"/>
          <w:szCs w:val="20"/>
        </w:rPr>
        <w:t>13.5019</w:t>
      </w:r>
      <w:r w:rsidRPr="0050243A">
        <w:rPr>
          <w:color w:val="000000" w:themeColor="text1"/>
          <w:sz w:val="20"/>
          <w:szCs w:val="20"/>
        </w:rPr>
        <w:t xml:space="preserve">. Between </w:t>
      </w:r>
      <w:r w:rsidRPr="0050243A">
        <w:rPr>
          <w:rStyle w:val="Strong"/>
          <w:b w:val="0"/>
          <w:bCs w:val="0"/>
          <w:color w:val="000000" w:themeColor="text1"/>
          <w:sz w:val="20"/>
          <w:szCs w:val="20"/>
        </w:rPr>
        <w:t>2018 and 2020</w:t>
      </w:r>
      <w:r w:rsidRPr="0050243A">
        <w:rPr>
          <w:color w:val="000000" w:themeColor="text1"/>
          <w:sz w:val="20"/>
          <w:szCs w:val="20"/>
        </w:rPr>
        <w:t xml:space="preserve">, remittances experienced a </w:t>
      </w:r>
      <w:r w:rsidRPr="0050243A">
        <w:rPr>
          <w:rStyle w:val="Strong"/>
          <w:b w:val="0"/>
          <w:bCs w:val="0"/>
          <w:color w:val="000000" w:themeColor="text1"/>
          <w:sz w:val="20"/>
          <w:szCs w:val="20"/>
        </w:rPr>
        <w:t>notable upward trend</w:t>
      </w:r>
      <w:r w:rsidRPr="0050243A">
        <w:rPr>
          <w:color w:val="000000" w:themeColor="text1"/>
          <w:sz w:val="20"/>
          <w:szCs w:val="20"/>
        </w:rPr>
        <w:t xml:space="preserve">, after which they </w:t>
      </w:r>
      <w:r w:rsidRPr="0050243A">
        <w:rPr>
          <w:rStyle w:val="Strong"/>
          <w:b w:val="0"/>
          <w:bCs w:val="0"/>
          <w:color w:val="000000" w:themeColor="text1"/>
          <w:sz w:val="20"/>
          <w:szCs w:val="20"/>
        </w:rPr>
        <w:t>stabilized</w:t>
      </w:r>
      <w:r w:rsidRPr="0050243A">
        <w:rPr>
          <w:color w:val="000000" w:themeColor="text1"/>
          <w:sz w:val="20"/>
          <w:szCs w:val="20"/>
        </w:rPr>
        <w:t xml:space="preserve"> for a few years. However, starting from </w:t>
      </w:r>
      <w:r w:rsidRPr="0050243A">
        <w:rPr>
          <w:rStyle w:val="Strong"/>
          <w:b w:val="0"/>
          <w:bCs w:val="0"/>
          <w:color w:val="000000" w:themeColor="text1"/>
          <w:sz w:val="20"/>
          <w:szCs w:val="20"/>
        </w:rPr>
        <w:t>2021</w:t>
      </w:r>
      <w:r w:rsidRPr="0050243A">
        <w:rPr>
          <w:color w:val="000000" w:themeColor="text1"/>
          <w:sz w:val="20"/>
          <w:szCs w:val="20"/>
        </w:rPr>
        <w:t xml:space="preserve">, the data show a </w:t>
      </w:r>
      <w:r w:rsidRPr="0050243A">
        <w:rPr>
          <w:rStyle w:val="Strong"/>
          <w:b w:val="0"/>
          <w:bCs w:val="0"/>
          <w:color w:val="000000" w:themeColor="text1"/>
          <w:sz w:val="20"/>
          <w:szCs w:val="20"/>
        </w:rPr>
        <w:t>sharp and sustained decline</w:t>
      </w:r>
      <w:r w:rsidRPr="0050243A">
        <w:rPr>
          <w:color w:val="000000" w:themeColor="text1"/>
          <w:sz w:val="20"/>
          <w:szCs w:val="20"/>
        </w:rPr>
        <w:t xml:space="preserve">, continuing through to the </w:t>
      </w:r>
      <w:r w:rsidRPr="0050243A">
        <w:rPr>
          <w:rStyle w:val="Strong"/>
          <w:b w:val="0"/>
          <w:bCs w:val="0"/>
          <w:color w:val="000000" w:themeColor="text1"/>
          <w:sz w:val="20"/>
          <w:szCs w:val="20"/>
        </w:rPr>
        <w:t>end of the study period</w:t>
      </w:r>
      <w:r w:rsidRPr="0050243A">
        <w:rPr>
          <w:color w:val="000000" w:themeColor="text1"/>
          <w:sz w:val="20"/>
          <w:szCs w:val="20"/>
        </w:rPr>
        <w:t xml:space="preserve"> in 2023.</w:t>
      </w:r>
    </w:p>
    <w:p w14:paraId="143433F7" w14:textId="77777777" w:rsidR="008546EF" w:rsidRPr="0050243A" w:rsidRDefault="008546EF" w:rsidP="008546EF">
      <w:pPr>
        <w:pStyle w:val="NormalWeb"/>
        <w:spacing w:before="0" w:beforeAutospacing="0" w:after="0" w:afterAutospacing="0"/>
        <w:ind w:right="78"/>
        <w:jc w:val="both"/>
        <w:rPr>
          <w:color w:val="000000" w:themeColor="text1"/>
          <w:sz w:val="20"/>
          <w:szCs w:val="20"/>
        </w:rPr>
      </w:pPr>
    </w:p>
    <w:p w14:paraId="5C7B66A1" w14:textId="77777777" w:rsidR="00191ABF" w:rsidRDefault="00191ABF" w:rsidP="008546EF">
      <w:pPr>
        <w:pStyle w:val="BodyText"/>
        <w:spacing w:after="0"/>
        <w:ind w:right="78"/>
        <w:rPr>
          <w:b/>
          <w:bCs/>
          <w:color w:val="000000" w:themeColor="text1"/>
          <w:sz w:val="20"/>
          <w:szCs w:val="20"/>
        </w:rPr>
      </w:pPr>
      <w:r w:rsidRPr="0050243A">
        <w:rPr>
          <w:b/>
          <w:bCs/>
          <w:color w:val="000000" w:themeColor="text1"/>
          <w:sz w:val="20"/>
          <w:szCs w:val="20"/>
        </w:rPr>
        <w:t>Stationarity checking</w:t>
      </w:r>
    </w:p>
    <w:p w14:paraId="4F9CD2BF" w14:textId="77777777" w:rsidR="008546EF" w:rsidRPr="0050243A" w:rsidRDefault="008546EF" w:rsidP="008546EF">
      <w:pPr>
        <w:pStyle w:val="BodyText"/>
        <w:spacing w:after="0"/>
        <w:ind w:right="78"/>
        <w:rPr>
          <w:b/>
          <w:bCs/>
          <w:color w:val="000000" w:themeColor="text1"/>
          <w:sz w:val="20"/>
          <w:szCs w:val="20"/>
        </w:rPr>
      </w:pPr>
    </w:p>
    <w:p w14:paraId="051D06FC" w14:textId="77777777" w:rsidR="00191ABF" w:rsidRPr="0050243A" w:rsidRDefault="00191ABF" w:rsidP="008546EF">
      <w:pPr>
        <w:pStyle w:val="BodyText"/>
        <w:spacing w:after="0" w:line="324" w:lineRule="auto"/>
        <w:ind w:right="78"/>
        <w:jc w:val="both"/>
        <w:rPr>
          <w:color w:val="000000" w:themeColor="text1"/>
          <w:sz w:val="20"/>
          <w:szCs w:val="20"/>
        </w:rPr>
      </w:pPr>
      <w:r w:rsidRPr="0050243A">
        <w:rPr>
          <w:color w:val="000000" w:themeColor="text1"/>
          <w:sz w:val="20"/>
          <w:szCs w:val="20"/>
        </w:rPr>
        <w:t xml:space="preserve">Figure 4 presents the ACF and PACF plots for the remittance series, both </w:t>
      </w:r>
      <w:r w:rsidRPr="0050243A">
        <w:rPr>
          <w:rStyle w:val="Strong"/>
          <w:b w:val="0"/>
          <w:bCs w:val="0"/>
          <w:color w:val="000000" w:themeColor="text1"/>
          <w:sz w:val="20"/>
          <w:szCs w:val="20"/>
        </w:rPr>
        <w:t>before and after first differencing</w:t>
      </w:r>
      <w:r w:rsidRPr="0050243A">
        <w:rPr>
          <w:color w:val="000000" w:themeColor="text1"/>
          <w:sz w:val="20"/>
          <w:szCs w:val="20"/>
        </w:rPr>
        <w:t xml:space="preserve">, to assess its stationarity. In the top panels, the </w:t>
      </w:r>
      <w:r w:rsidRPr="0050243A">
        <w:rPr>
          <w:rStyle w:val="Strong"/>
          <w:b w:val="0"/>
          <w:bCs w:val="0"/>
          <w:color w:val="000000" w:themeColor="text1"/>
          <w:sz w:val="20"/>
          <w:szCs w:val="20"/>
        </w:rPr>
        <w:t>ACF of remittances before differencing</w:t>
      </w:r>
      <w:r w:rsidRPr="0050243A">
        <w:rPr>
          <w:color w:val="000000" w:themeColor="text1"/>
          <w:sz w:val="20"/>
          <w:szCs w:val="20"/>
        </w:rPr>
        <w:t xml:space="preserve"> exhibits a slow and gradual decay, with significant autocorrelations extending well beyond lag 10. This pattern is characteristic of a </w:t>
      </w:r>
      <w:r w:rsidRPr="0050243A">
        <w:rPr>
          <w:rStyle w:val="Strong"/>
          <w:b w:val="0"/>
          <w:bCs w:val="0"/>
          <w:color w:val="000000" w:themeColor="text1"/>
          <w:sz w:val="20"/>
          <w:szCs w:val="20"/>
        </w:rPr>
        <w:t>non-stationary process</w:t>
      </w:r>
      <w:r w:rsidRPr="0050243A">
        <w:rPr>
          <w:color w:val="000000" w:themeColor="text1"/>
          <w:sz w:val="20"/>
          <w:szCs w:val="20"/>
        </w:rPr>
        <w:t xml:space="preserve">, where the time series has a strong memory of past values. The </w:t>
      </w:r>
      <w:r w:rsidRPr="0050243A">
        <w:rPr>
          <w:rStyle w:val="Strong"/>
          <w:b w:val="0"/>
          <w:bCs w:val="0"/>
          <w:color w:val="000000" w:themeColor="text1"/>
          <w:sz w:val="20"/>
          <w:szCs w:val="20"/>
        </w:rPr>
        <w:t>PACF before differencing</w:t>
      </w:r>
      <w:r w:rsidRPr="0050243A">
        <w:rPr>
          <w:color w:val="000000" w:themeColor="text1"/>
          <w:sz w:val="20"/>
          <w:szCs w:val="20"/>
        </w:rPr>
        <w:t xml:space="preserve"> also shows a significant spike at lag 1, followed by several smaller values, further supporting non-stationarity. In contrast, the bottom panels show the </w:t>
      </w:r>
      <w:r w:rsidRPr="0050243A">
        <w:rPr>
          <w:rStyle w:val="Strong"/>
          <w:b w:val="0"/>
          <w:bCs w:val="0"/>
          <w:color w:val="000000" w:themeColor="text1"/>
          <w:sz w:val="20"/>
          <w:szCs w:val="20"/>
        </w:rPr>
        <w:t>ACF and PACF of the differenced series</w:t>
      </w:r>
      <w:r w:rsidRPr="0050243A">
        <w:rPr>
          <w:color w:val="000000" w:themeColor="text1"/>
          <w:sz w:val="20"/>
          <w:szCs w:val="20"/>
        </w:rPr>
        <w:t xml:space="preserve">. </w:t>
      </w:r>
    </w:p>
    <w:p w14:paraId="45A19284" w14:textId="77777777" w:rsidR="00191ABF" w:rsidRPr="0050243A" w:rsidRDefault="00191ABF" w:rsidP="008546EF">
      <w:pPr>
        <w:pStyle w:val="BodyText"/>
        <w:spacing w:after="0"/>
        <w:ind w:right="78"/>
        <w:jc w:val="both"/>
        <w:rPr>
          <w:color w:val="000000" w:themeColor="text1"/>
          <w:sz w:val="20"/>
          <w:szCs w:val="20"/>
        </w:rPr>
      </w:pPr>
    </w:p>
    <w:p w14:paraId="627EA8CB" w14:textId="77777777" w:rsidR="00191ABF" w:rsidRPr="0050243A" w:rsidRDefault="00191ABF" w:rsidP="008546EF">
      <w:pPr>
        <w:pStyle w:val="BodyText"/>
        <w:spacing w:after="0"/>
        <w:ind w:right="78"/>
        <w:jc w:val="center"/>
        <w:rPr>
          <w:color w:val="000000" w:themeColor="text1"/>
          <w:sz w:val="20"/>
          <w:szCs w:val="20"/>
        </w:rPr>
      </w:pPr>
      <w:r w:rsidRPr="0050243A">
        <w:rPr>
          <w:noProof/>
          <w:color w:val="000000" w:themeColor="text1"/>
          <w:sz w:val="20"/>
          <w:szCs w:val="20"/>
        </w:rPr>
        <w:drawing>
          <wp:inline distT="0" distB="0" distL="0" distR="0" wp14:anchorId="4F4B8846" wp14:editId="5D91F7B4">
            <wp:extent cx="4524621" cy="2909024"/>
            <wp:effectExtent l="0" t="0" r="0" b="0"/>
            <wp:docPr id="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4602470" cy="2959076"/>
                    </a:xfrm>
                    <a:prstGeom prst="rect">
                      <a:avLst/>
                    </a:prstGeom>
                  </pic:spPr>
                </pic:pic>
              </a:graphicData>
            </a:graphic>
          </wp:inline>
        </w:drawing>
      </w:r>
    </w:p>
    <w:p w14:paraId="5BEEA5B3" w14:textId="77777777" w:rsidR="008546EF" w:rsidRDefault="008546EF" w:rsidP="008546EF">
      <w:pPr>
        <w:pStyle w:val="BodyText"/>
        <w:spacing w:after="0"/>
        <w:ind w:right="78"/>
        <w:rPr>
          <w:b/>
          <w:bCs/>
          <w:color w:val="000000" w:themeColor="text1"/>
          <w:sz w:val="20"/>
          <w:szCs w:val="20"/>
        </w:rPr>
      </w:pPr>
    </w:p>
    <w:p w14:paraId="301E6198" w14:textId="72158E9C" w:rsidR="00191ABF" w:rsidRPr="0050243A" w:rsidRDefault="00191ABF" w:rsidP="008546EF">
      <w:pPr>
        <w:pStyle w:val="BodyText"/>
        <w:spacing w:after="0"/>
        <w:ind w:right="78"/>
        <w:jc w:val="center"/>
        <w:rPr>
          <w:color w:val="000000" w:themeColor="text1"/>
          <w:spacing w:val="-2"/>
          <w:sz w:val="20"/>
          <w:szCs w:val="20"/>
        </w:rPr>
      </w:pPr>
      <w:r w:rsidRPr="0050243A">
        <w:rPr>
          <w:b/>
          <w:bCs/>
          <w:color w:val="000000" w:themeColor="text1"/>
          <w:sz w:val="20"/>
          <w:szCs w:val="20"/>
        </w:rPr>
        <w:t>Figure</w:t>
      </w:r>
      <w:r w:rsidRPr="0050243A">
        <w:rPr>
          <w:b/>
          <w:bCs/>
          <w:color w:val="000000" w:themeColor="text1"/>
          <w:spacing w:val="-4"/>
          <w:sz w:val="20"/>
          <w:szCs w:val="20"/>
        </w:rPr>
        <w:t xml:space="preserve"> </w:t>
      </w:r>
      <w:r w:rsidRPr="0050243A">
        <w:rPr>
          <w:b/>
          <w:bCs/>
          <w:color w:val="000000" w:themeColor="text1"/>
          <w:sz w:val="20"/>
          <w:szCs w:val="20"/>
        </w:rPr>
        <w:t>4</w:t>
      </w:r>
      <w:r w:rsidR="008546EF">
        <w:rPr>
          <w:b/>
          <w:bCs/>
          <w:color w:val="000000" w:themeColor="text1"/>
          <w:sz w:val="20"/>
          <w:szCs w:val="20"/>
        </w:rPr>
        <w:t>.</w:t>
      </w:r>
      <w:r w:rsidRPr="0050243A">
        <w:rPr>
          <w:color w:val="000000" w:themeColor="text1"/>
          <w:spacing w:val="-2"/>
          <w:sz w:val="20"/>
          <w:szCs w:val="20"/>
        </w:rPr>
        <w:t xml:space="preserve"> </w:t>
      </w:r>
      <w:r w:rsidRPr="0050243A">
        <w:rPr>
          <w:color w:val="000000" w:themeColor="text1"/>
          <w:sz w:val="20"/>
          <w:szCs w:val="20"/>
        </w:rPr>
        <w:t>ACF</w:t>
      </w:r>
      <w:r w:rsidRPr="0050243A">
        <w:rPr>
          <w:color w:val="000000" w:themeColor="text1"/>
          <w:spacing w:val="-1"/>
          <w:sz w:val="20"/>
          <w:szCs w:val="20"/>
        </w:rPr>
        <w:t xml:space="preserve"> </w:t>
      </w:r>
      <w:r w:rsidRPr="0050243A">
        <w:rPr>
          <w:color w:val="000000" w:themeColor="text1"/>
          <w:sz w:val="20"/>
          <w:szCs w:val="20"/>
        </w:rPr>
        <w:t>and</w:t>
      </w:r>
      <w:r w:rsidRPr="0050243A">
        <w:rPr>
          <w:color w:val="000000" w:themeColor="text1"/>
          <w:spacing w:val="-1"/>
          <w:sz w:val="20"/>
          <w:szCs w:val="20"/>
        </w:rPr>
        <w:t xml:space="preserve"> </w:t>
      </w:r>
      <w:r w:rsidRPr="0050243A">
        <w:rPr>
          <w:color w:val="000000" w:themeColor="text1"/>
          <w:sz w:val="20"/>
          <w:szCs w:val="20"/>
        </w:rPr>
        <w:t>PACF</w:t>
      </w:r>
      <w:r w:rsidRPr="0050243A">
        <w:rPr>
          <w:color w:val="000000" w:themeColor="text1"/>
          <w:spacing w:val="-3"/>
          <w:sz w:val="20"/>
          <w:szCs w:val="20"/>
        </w:rPr>
        <w:t xml:space="preserve"> </w:t>
      </w:r>
      <w:r w:rsidR="008546EF">
        <w:rPr>
          <w:color w:val="000000" w:themeColor="text1"/>
          <w:sz w:val="20"/>
          <w:szCs w:val="20"/>
        </w:rPr>
        <w:t>P</w:t>
      </w:r>
      <w:r w:rsidRPr="0050243A">
        <w:rPr>
          <w:color w:val="000000" w:themeColor="text1"/>
          <w:sz w:val="20"/>
          <w:szCs w:val="20"/>
        </w:rPr>
        <w:t>lots</w:t>
      </w:r>
      <w:r w:rsidRPr="0050243A">
        <w:rPr>
          <w:color w:val="000000" w:themeColor="text1"/>
          <w:spacing w:val="-1"/>
          <w:sz w:val="20"/>
          <w:szCs w:val="20"/>
        </w:rPr>
        <w:t xml:space="preserve"> </w:t>
      </w:r>
      <w:r w:rsidRPr="0050243A">
        <w:rPr>
          <w:color w:val="000000" w:themeColor="text1"/>
          <w:sz w:val="20"/>
          <w:szCs w:val="20"/>
        </w:rPr>
        <w:t>for</w:t>
      </w:r>
      <w:r w:rsidRPr="0050243A">
        <w:rPr>
          <w:color w:val="000000" w:themeColor="text1"/>
          <w:spacing w:val="-3"/>
          <w:sz w:val="20"/>
          <w:szCs w:val="20"/>
        </w:rPr>
        <w:t xml:space="preserve"> </w:t>
      </w:r>
      <w:r w:rsidRPr="0050243A">
        <w:rPr>
          <w:color w:val="000000" w:themeColor="text1"/>
          <w:sz w:val="20"/>
          <w:szCs w:val="20"/>
        </w:rPr>
        <w:t>Remittances</w:t>
      </w:r>
      <w:r w:rsidRPr="0050243A">
        <w:rPr>
          <w:color w:val="000000" w:themeColor="text1"/>
          <w:spacing w:val="-1"/>
          <w:sz w:val="20"/>
          <w:szCs w:val="20"/>
        </w:rPr>
        <w:t xml:space="preserve"> </w:t>
      </w:r>
      <w:r w:rsidR="008546EF">
        <w:rPr>
          <w:color w:val="000000" w:themeColor="text1"/>
          <w:spacing w:val="-1"/>
          <w:sz w:val="20"/>
          <w:szCs w:val="20"/>
        </w:rPr>
        <w:t>B</w:t>
      </w:r>
      <w:r w:rsidRPr="0050243A">
        <w:rPr>
          <w:color w:val="000000" w:themeColor="text1"/>
          <w:spacing w:val="-1"/>
          <w:sz w:val="20"/>
          <w:szCs w:val="20"/>
        </w:rPr>
        <w:t xml:space="preserve">efore </w:t>
      </w:r>
      <w:r w:rsidR="008546EF">
        <w:rPr>
          <w:color w:val="000000" w:themeColor="text1"/>
          <w:spacing w:val="-1"/>
          <w:sz w:val="20"/>
          <w:szCs w:val="20"/>
        </w:rPr>
        <w:t>D</w:t>
      </w:r>
      <w:r w:rsidRPr="0050243A">
        <w:rPr>
          <w:color w:val="000000" w:themeColor="text1"/>
          <w:spacing w:val="-1"/>
          <w:sz w:val="20"/>
          <w:szCs w:val="20"/>
        </w:rPr>
        <w:t xml:space="preserve">ifference </w:t>
      </w:r>
      <w:r w:rsidRPr="0050243A">
        <w:rPr>
          <w:color w:val="000000" w:themeColor="text1"/>
          <w:sz w:val="20"/>
          <w:szCs w:val="20"/>
        </w:rPr>
        <w:t>and</w:t>
      </w:r>
      <w:r w:rsidRPr="0050243A">
        <w:rPr>
          <w:color w:val="000000" w:themeColor="text1"/>
          <w:spacing w:val="-1"/>
          <w:sz w:val="20"/>
          <w:szCs w:val="20"/>
        </w:rPr>
        <w:t xml:space="preserve"> </w:t>
      </w:r>
      <w:r w:rsidR="008546EF">
        <w:rPr>
          <w:color w:val="000000" w:themeColor="text1"/>
          <w:spacing w:val="-1"/>
          <w:sz w:val="20"/>
          <w:szCs w:val="20"/>
        </w:rPr>
        <w:t>A</w:t>
      </w:r>
      <w:r w:rsidRPr="0050243A">
        <w:rPr>
          <w:color w:val="000000" w:themeColor="text1"/>
          <w:sz w:val="20"/>
          <w:szCs w:val="20"/>
        </w:rPr>
        <w:t>fter</w:t>
      </w:r>
      <w:r w:rsidRPr="0050243A">
        <w:rPr>
          <w:color w:val="000000" w:themeColor="text1"/>
          <w:spacing w:val="-1"/>
          <w:sz w:val="20"/>
          <w:szCs w:val="20"/>
        </w:rPr>
        <w:t xml:space="preserve"> </w:t>
      </w:r>
      <w:r w:rsidR="008546EF">
        <w:rPr>
          <w:color w:val="000000" w:themeColor="text1"/>
          <w:spacing w:val="-1"/>
          <w:sz w:val="20"/>
          <w:szCs w:val="20"/>
        </w:rPr>
        <w:t>F</w:t>
      </w:r>
      <w:r w:rsidRPr="0050243A">
        <w:rPr>
          <w:color w:val="000000" w:themeColor="text1"/>
          <w:sz w:val="20"/>
          <w:szCs w:val="20"/>
        </w:rPr>
        <w:t xml:space="preserve">irst </w:t>
      </w:r>
      <w:r w:rsidR="008546EF">
        <w:rPr>
          <w:color w:val="000000" w:themeColor="text1"/>
          <w:sz w:val="20"/>
          <w:szCs w:val="20"/>
        </w:rPr>
        <w:t>D</w:t>
      </w:r>
      <w:r w:rsidRPr="0050243A">
        <w:rPr>
          <w:color w:val="000000" w:themeColor="text1"/>
          <w:spacing w:val="-2"/>
          <w:sz w:val="20"/>
          <w:szCs w:val="20"/>
        </w:rPr>
        <w:t>ifferencing</w:t>
      </w:r>
    </w:p>
    <w:p w14:paraId="1892C2A3" w14:textId="77777777" w:rsidR="00191ABF" w:rsidRPr="0050243A" w:rsidRDefault="00191ABF" w:rsidP="008546EF">
      <w:pPr>
        <w:pStyle w:val="BodyText"/>
        <w:spacing w:after="0"/>
        <w:ind w:right="78"/>
        <w:jc w:val="both"/>
        <w:rPr>
          <w:color w:val="000000" w:themeColor="text1"/>
          <w:sz w:val="20"/>
          <w:szCs w:val="20"/>
        </w:rPr>
      </w:pPr>
    </w:p>
    <w:p w14:paraId="5141A674" w14:textId="77777777" w:rsidR="00191ABF" w:rsidRDefault="00191ABF" w:rsidP="008546EF">
      <w:pPr>
        <w:pStyle w:val="BodyText"/>
        <w:spacing w:after="0" w:line="324" w:lineRule="auto"/>
        <w:ind w:right="78"/>
        <w:jc w:val="both"/>
        <w:rPr>
          <w:color w:val="000000" w:themeColor="text1"/>
          <w:sz w:val="20"/>
          <w:szCs w:val="20"/>
        </w:rPr>
      </w:pPr>
      <w:r w:rsidRPr="0050243A">
        <w:rPr>
          <w:color w:val="000000" w:themeColor="text1"/>
          <w:sz w:val="20"/>
          <w:szCs w:val="20"/>
        </w:rPr>
        <w:t xml:space="preserve">The </w:t>
      </w:r>
      <w:r w:rsidRPr="0050243A">
        <w:rPr>
          <w:rStyle w:val="Strong"/>
          <w:b w:val="0"/>
          <w:bCs w:val="0"/>
          <w:color w:val="000000" w:themeColor="text1"/>
          <w:sz w:val="20"/>
          <w:szCs w:val="20"/>
        </w:rPr>
        <w:t>ACF after differencing</w:t>
      </w:r>
      <w:r w:rsidRPr="0050243A">
        <w:rPr>
          <w:color w:val="000000" w:themeColor="text1"/>
          <w:sz w:val="20"/>
          <w:szCs w:val="20"/>
        </w:rPr>
        <w:t xml:space="preserve"> reveals only a </w:t>
      </w:r>
      <w:r w:rsidRPr="0050243A">
        <w:rPr>
          <w:rStyle w:val="Strong"/>
          <w:b w:val="0"/>
          <w:bCs w:val="0"/>
          <w:color w:val="000000" w:themeColor="text1"/>
          <w:sz w:val="20"/>
          <w:szCs w:val="20"/>
        </w:rPr>
        <w:t>single significant spike at lag 1</w:t>
      </w:r>
      <w:r w:rsidRPr="0050243A">
        <w:rPr>
          <w:color w:val="000000" w:themeColor="text1"/>
          <w:sz w:val="20"/>
          <w:szCs w:val="20"/>
        </w:rPr>
        <w:t xml:space="preserve">, with subsequent lags lying within the 95% confidence bounds. Similarly, the </w:t>
      </w:r>
      <w:r w:rsidRPr="0050243A">
        <w:rPr>
          <w:rStyle w:val="Strong"/>
          <w:b w:val="0"/>
          <w:bCs w:val="0"/>
          <w:color w:val="000000" w:themeColor="text1"/>
          <w:sz w:val="20"/>
          <w:szCs w:val="20"/>
        </w:rPr>
        <w:t>PACF plot after differencing</w:t>
      </w:r>
      <w:r w:rsidRPr="0050243A">
        <w:rPr>
          <w:color w:val="000000" w:themeColor="text1"/>
          <w:sz w:val="20"/>
          <w:szCs w:val="20"/>
        </w:rPr>
        <w:t xml:space="preserve"> shows a </w:t>
      </w:r>
      <w:r w:rsidRPr="0050243A">
        <w:rPr>
          <w:color w:val="000000" w:themeColor="text1"/>
          <w:sz w:val="20"/>
          <w:szCs w:val="20"/>
        </w:rPr>
        <w:lastRenderedPageBreak/>
        <w:t xml:space="preserve">notable drop in partial autocorrelation beyond the first few lags. These patterns are indicative of a </w:t>
      </w:r>
      <w:r w:rsidRPr="0050243A">
        <w:rPr>
          <w:rStyle w:val="Strong"/>
          <w:b w:val="0"/>
          <w:bCs w:val="0"/>
          <w:color w:val="000000" w:themeColor="text1"/>
          <w:sz w:val="20"/>
          <w:szCs w:val="20"/>
        </w:rPr>
        <w:t>stationary process</w:t>
      </w:r>
      <w:r w:rsidRPr="0050243A">
        <w:rPr>
          <w:color w:val="000000" w:themeColor="text1"/>
          <w:sz w:val="20"/>
          <w:szCs w:val="20"/>
        </w:rPr>
        <w:t>, confirming that first differencing was sufficient to achieve stationarity.</w:t>
      </w:r>
    </w:p>
    <w:p w14:paraId="4AA7554C" w14:textId="77777777" w:rsidR="008546EF" w:rsidRDefault="008546EF" w:rsidP="008546EF">
      <w:pPr>
        <w:pStyle w:val="BodyText"/>
        <w:spacing w:after="0"/>
        <w:ind w:right="78"/>
        <w:jc w:val="both"/>
        <w:rPr>
          <w:b/>
          <w:bCs/>
          <w:color w:val="000000" w:themeColor="text1"/>
          <w:sz w:val="20"/>
          <w:szCs w:val="20"/>
        </w:rPr>
      </w:pPr>
    </w:p>
    <w:p w14:paraId="5E9B95AB" w14:textId="400CEB30" w:rsidR="00191ABF" w:rsidRDefault="00191ABF" w:rsidP="008546EF">
      <w:pPr>
        <w:pStyle w:val="BodyText"/>
        <w:spacing w:after="0"/>
        <w:ind w:right="78"/>
        <w:jc w:val="both"/>
        <w:rPr>
          <w:b/>
          <w:bCs/>
          <w:color w:val="000000" w:themeColor="text1"/>
          <w:sz w:val="20"/>
          <w:szCs w:val="20"/>
        </w:rPr>
      </w:pPr>
      <w:r w:rsidRPr="0050243A">
        <w:rPr>
          <w:b/>
          <w:bCs/>
          <w:color w:val="000000" w:themeColor="text1"/>
          <w:sz w:val="20"/>
          <w:szCs w:val="20"/>
        </w:rPr>
        <w:t>Unit Root Test Results and Variable Integration</w:t>
      </w:r>
    </w:p>
    <w:p w14:paraId="2E48664E" w14:textId="77777777" w:rsidR="008546EF" w:rsidRPr="0050243A" w:rsidRDefault="008546EF" w:rsidP="008546EF">
      <w:pPr>
        <w:pStyle w:val="BodyText"/>
        <w:spacing w:after="0"/>
        <w:ind w:right="78"/>
        <w:jc w:val="both"/>
        <w:rPr>
          <w:rStyle w:val="Strong"/>
          <w:b w:val="0"/>
          <w:bCs w:val="0"/>
          <w:color w:val="000000" w:themeColor="text1"/>
          <w:sz w:val="20"/>
          <w:szCs w:val="20"/>
        </w:rPr>
      </w:pPr>
    </w:p>
    <w:p w14:paraId="6A6FCA14" w14:textId="77777777" w:rsidR="008546EF" w:rsidRDefault="00191ABF" w:rsidP="008546EF">
      <w:pPr>
        <w:pStyle w:val="BodyText"/>
        <w:spacing w:after="0" w:line="324" w:lineRule="auto"/>
        <w:ind w:right="78"/>
        <w:jc w:val="both"/>
        <w:rPr>
          <w:color w:val="000000" w:themeColor="text1"/>
          <w:sz w:val="20"/>
          <w:szCs w:val="20"/>
        </w:rPr>
      </w:pPr>
      <w:r w:rsidRPr="0050243A">
        <w:rPr>
          <w:rStyle w:val="Strong"/>
          <w:b w:val="0"/>
          <w:bCs w:val="0"/>
          <w:color w:val="000000" w:themeColor="text1"/>
          <w:sz w:val="20"/>
          <w:szCs w:val="20"/>
        </w:rPr>
        <w:t>Before estimating the TVAR model, we assess the stationarity properties of all variables to ensure the validity of the regime-switching VAR framework.</w:t>
      </w:r>
      <w:r w:rsidRPr="0050243A">
        <w:rPr>
          <w:color w:val="000000" w:themeColor="text1"/>
          <w:sz w:val="20"/>
          <w:szCs w:val="20"/>
        </w:rPr>
        <w:t xml:space="preserve"> This step is essential because TVAR models require the variables to be stationary or transformed into stationarity (typically through differencing), as the presence of unit roots can distort inference and regime dynamics. To determine the integration order of each variable, we employ standard unit root tests, including the Augmented Dickey-Fuller (ADF) and </w:t>
      </w:r>
      <w:bookmarkStart w:id="6" w:name="_Hlk225956090"/>
      <w:r w:rsidRPr="0050243A">
        <w:rPr>
          <w:color w:val="000000" w:themeColor="text1"/>
          <w:sz w:val="20"/>
          <w:szCs w:val="20"/>
        </w:rPr>
        <w:t>Phillips-Perron (PP)</w:t>
      </w:r>
      <w:bookmarkEnd w:id="6"/>
      <w:r w:rsidRPr="0050243A">
        <w:rPr>
          <w:color w:val="000000" w:themeColor="text1"/>
          <w:sz w:val="20"/>
          <w:szCs w:val="20"/>
        </w:rPr>
        <w:t xml:space="preserve"> tests. The lag selection in the ADF test is based on the Schwarz Information Criterion (SIC), while the bandwidth in the PP test is determined using the Newey-West method. The test results indicate that the variables exhibit a mix of integration orders I (0) and I (1), with none found to be I (2). As a result, appropriate differencing was applied to achieve stationarity.</w:t>
      </w:r>
    </w:p>
    <w:p w14:paraId="11C99FAF" w14:textId="43D8ACF3" w:rsidR="00191ABF" w:rsidRPr="0050243A" w:rsidRDefault="00191ABF" w:rsidP="008546EF">
      <w:pPr>
        <w:pStyle w:val="BodyText"/>
        <w:spacing w:after="0" w:line="324" w:lineRule="auto"/>
        <w:ind w:right="78"/>
        <w:jc w:val="both"/>
        <w:rPr>
          <w:color w:val="000000" w:themeColor="text1"/>
          <w:sz w:val="20"/>
          <w:szCs w:val="20"/>
        </w:rPr>
      </w:pPr>
      <w:r w:rsidRPr="0050243A">
        <w:rPr>
          <w:color w:val="000000" w:themeColor="text1"/>
          <w:sz w:val="20"/>
          <w:szCs w:val="20"/>
        </w:rPr>
        <w:t xml:space="preserve"> </w:t>
      </w:r>
    </w:p>
    <w:p w14:paraId="7EFFB8E3" w14:textId="476B9B56" w:rsidR="00191ABF" w:rsidRDefault="00191ABF" w:rsidP="008546EF">
      <w:pPr>
        <w:pStyle w:val="BodyText"/>
        <w:spacing w:after="0"/>
        <w:ind w:right="78"/>
        <w:rPr>
          <w:color w:val="000000" w:themeColor="text1"/>
          <w:sz w:val="20"/>
          <w:szCs w:val="20"/>
        </w:rPr>
      </w:pPr>
      <w:r w:rsidRPr="0050243A">
        <w:rPr>
          <w:b/>
          <w:bCs/>
          <w:color w:val="000000" w:themeColor="text1"/>
          <w:sz w:val="20"/>
          <w:szCs w:val="20"/>
        </w:rPr>
        <w:t>Table</w:t>
      </w:r>
      <w:r w:rsidRPr="0050243A">
        <w:rPr>
          <w:b/>
          <w:bCs/>
          <w:color w:val="000000" w:themeColor="text1"/>
          <w:spacing w:val="-3"/>
          <w:sz w:val="20"/>
          <w:szCs w:val="20"/>
        </w:rPr>
        <w:t xml:space="preserve"> </w:t>
      </w:r>
      <w:r w:rsidRPr="0050243A">
        <w:rPr>
          <w:b/>
          <w:bCs/>
          <w:color w:val="000000" w:themeColor="text1"/>
          <w:sz w:val="20"/>
          <w:szCs w:val="20"/>
        </w:rPr>
        <w:t>2</w:t>
      </w:r>
      <w:r w:rsidR="008546EF">
        <w:rPr>
          <w:b/>
          <w:bCs/>
          <w:color w:val="000000" w:themeColor="text1"/>
          <w:sz w:val="20"/>
          <w:szCs w:val="20"/>
        </w:rPr>
        <w:t>.</w:t>
      </w:r>
      <w:r w:rsidRPr="0050243A">
        <w:rPr>
          <w:color w:val="000000" w:themeColor="text1"/>
          <w:spacing w:val="-11"/>
          <w:sz w:val="20"/>
          <w:szCs w:val="20"/>
        </w:rPr>
        <w:t xml:space="preserve"> </w:t>
      </w:r>
      <w:r w:rsidRPr="0050243A">
        <w:rPr>
          <w:color w:val="000000" w:themeColor="text1"/>
          <w:sz w:val="20"/>
          <w:szCs w:val="20"/>
        </w:rPr>
        <w:t>Stationarity Test Results Using ADF and PP Tests</w:t>
      </w:r>
    </w:p>
    <w:p w14:paraId="2FD31728" w14:textId="77777777" w:rsidR="008546EF" w:rsidRPr="0050243A" w:rsidRDefault="008546EF" w:rsidP="008546EF">
      <w:pPr>
        <w:pStyle w:val="BodyText"/>
        <w:spacing w:after="0"/>
        <w:ind w:right="78"/>
        <w:rPr>
          <w:color w:val="000000" w:themeColor="text1"/>
          <w:sz w:val="20"/>
          <w:szCs w:val="20"/>
        </w:rPr>
      </w:pPr>
    </w:p>
    <w:tbl>
      <w:tblPr>
        <w:tblW w:w="0" w:type="auto"/>
        <w:tblInd w:w="10"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335"/>
        <w:gridCol w:w="732"/>
        <w:gridCol w:w="668"/>
        <w:gridCol w:w="742"/>
        <w:gridCol w:w="669"/>
        <w:gridCol w:w="817"/>
        <w:gridCol w:w="742"/>
        <w:gridCol w:w="742"/>
        <w:gridCol w:w="745"/>
      </w:tblGrid>
      <w:tr w:rsidR="00191ABF" w:rsidRPr="0050243A" w14:paraId="7D2B89D9" w14:textId="77777777" w:rsidTr="008546EF">
        <w:trPr>
          <w:trHeight w:val="492"/>
        </w:trPr>
        <w:tc>
          <w:tcPr>
            <w:tcW w:w="1335" w:type="dxa"/>
            <w:vMerge w:val="restart"/>
            <w:vAlign w:val="center"/>
          </w:tcPr>
          <w:p w14:paraId="3364E523"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pacing w:val="-2"/>
                <w:sz w:val="20"/>
                <w:szCs w:val="20"/>
              </w:rPr>
              <w:t>Variables</w:t>
            </w:r>
          </w:p>
        </w:tc>
        <w:tc>
          <w:tcPr>
            <w:tcW w:w="5857" w:type="dxa"/>
            <w:gridSpan w:val="8"/>
          </w:tcPr>
          <w:p w14:paraId="40B72F2E" w14:textId="77777777" w:rsidR="00191ABF" w:rsidRPr="0050243A" w:rsidRDefault="00191ABF" w:rsidP="008546EF">
            <w:pPr>
              <w:pStyle w:val="TableParagraph"/>
              <w:ind w:right="78"/>
              <w:rPr>
                <w:b/>
                <w:bCs/>
                <w:color w:val="000000" w:themeColor="text1"/>
                <w:position w:val="1"/>
                <w:sz w:val="20"/>
                <w:szCs w:val="20"/>
              </w:rPr>
            </w:pPr>
            <w:r w:rsidRPr="0050243A">
              <w:rPr>
                <w:b/>
                <w:bCs/>
                <w:color w:val="000000" w:themeColor="text1"/>
                <w:position w:val="1"/>
                <w:sz w:val="20"/>
                <w:szCs w:val="20"/>
              </w:rPr>
              <w:t>H</w:t>
            </w:r>
            <w:r w:rsidRPr="0050243A">
              <w:rPr>
                <w:b/>
                <w:bCs/>
                <w:color w:val="000000" w:themeColor="text1"/>
                <w:sz w:val="20"/>
                <w:szCs w:val="20"/>
              </w:rPr>
              <w:t>0</w:t>
            </w:r>
            <w:r w:rsidRPr="0050243A">
              <w:rPr>
                <w:b/>
                <w:bCs/>
                <w:color w:val="000000" w:themeColor="text1"/>
                <w:position w:val="1"/>
                <w:sz w:val="20"/>
                <w:szCs w:val="20"/>
              </w:rPr>
              <w:t>:</w:t>
            </w:r>
            <w:r w:rsidRPr="0050243A">
              <w:rPr>
                <w:b/>
                <w:bCs/>
                <w:color w:val="000000" w:themeColor="text1"/>
                <w:spacing w:val="-1"/>
                <w:position w:val="1"/>
                <w:sz w:val="20"/>
                <w:szCs w:val="20"/>
              </w:rPr>
              <w:t xml:space="preserve"> </w:t>
            </w:r>
            <w:r w:rsidRPr="0050243A">
              <w:rPr>
                <w:b/>
                <w:bCs/>
                <w:color w:val="000000" w:themeColor="text1"/>
                <w:position w:val="1"/>
                <w:sz w:val="20"/>
                <w:szCs w:val="20"/>
              </w:rPr>
              <w:t>The</w:t>
            </w:r>
            <w:r w:rsidRPr="0050243A">
              <w:rPr>
                <w:b/>
                <w:bCs/>
                <w:color w:val="000000" w:themeColor="text1"/>
                <w:spacing w:val="-1"/>
                <w:position w:val="1"/>
                <w:sz w:val="20"/>
                <w:szCs w:val="20"/>
              </w:rPr>
              <w:t xml:space="preserve"> </w:t>
            </w:r>
            <w:r w:rsidRPr="0050243A">
              <w:rPr>
                <w:b/>
                <w:bCs/>
                <w:color w:val="000000" w:themeColor="text1"/>
                <w:position w:val="1"/>
                <w:sz w:val="20"/>
                <w:szCs w:val="20"/>
              </w:rPr>
              <w:t>series</w:t>
            </w:r>
            <w:r w:rsidRPr="0050243A">
              <w:rPr>
                <w:b/>
                <w:bCs/>
                <w:color w:val="000000" w:themeColor="text1"/>
                <w:spacing w:val="-1"/>
                <w:position w:val="1"/>
                <w:sz w:val="20"/>
                <w:szCs w:val="20"/>
              </w:rPr>
              <w:t xml:space="preserve"> </w:t>
            </w:r>
            <w:r w:rsidRPr="0050243A">
              <w:rPr>
                <w:b/>
                <w:bCs/>
                <w:color w:val="000000" w:themeColor="text1"/>
                <w:position w:val="1"/>
                <w:sz w:val="20"/>
                <w:szCs w:val="20"/>
              </w:rPr>
              <w:t>has a</w:t>
            </w:r>
            <w:r w:rsidRPr="0050243A">
              <w:rPr>
                <w:b/>
                <w:bCs/>
                <w:color w:val="000000" w:themeColor="text1"/>
                <w:spacing w:val="-1"/>
                <w:position w:val="1"/>
                <w:sz w:val="20"/>
                <w:szCs w:val="20"/>
              </w:rPr>
              <w:t xml:space="preserve"> </w:t>
            </w:r>
            <w:r w:rsidRPr="0050243A">
              <w:rPr>
                <w:b/>
                <w:bCs/>
                <w:color w:val="000000" w:themeColor="text1"/>
                <w:position w:val="1"/>
                <w:sz w:val="20"/>
                <w:szCs w:val="20"/>
              </w:rPr>
              <w:t>unit</w:t>
            </w:r>
            <w:r w:rsidRPr="0050243A">
              <w:rPr>
                <w:b/>
                <w:bCs/>
                <w:color w:val="000000" w:themeColor="text1"/>
                <w:spacing w:val="-1"/>
                <w:position w:val="1"/>
                <w:sz w:val="20"/>
                <w:szCs w:val="20"/>
              </w:rPr>
              <w:t xml:space="preserve"> </w:t>
            </w:r>
            <w:r w:rsidRPr="0050243A">
              <w:rPr>
                <w:b/>
                <w:bCs/>
                <w:color w:val="000000" w:themeColor="text1"/>
                <w:position w:val="1"/>
                <w:sz w:val="20"/>
                <w:szCs w:val="20"/>
              </w:rPr>
              <w:t>root &amp;</w:t>
            </w:r>
            <w:r w:rsidRPr="0050243A">
              <w:rPr>
                <w:b/>
                <w:bCs/>
                <w:color w:val="000000" w:themeColor="text1"/>
                <w:spacing w:val="-2"/>
                <w:position w:val="1"/>
                <w:sz w:val="20"/>
                <w:szCs w:val="20"/>
              </w:rPr>
              <w:t xml:space="preserve"> </w:t>
            </w:r>
            <w:r w:rsidRPr="0050243A">
              <w:rPr>
                <w:b/>
                <w:bCs/>
                <w:color w:val="000000" w:themeColor="text1"/>
                <w:position w:val="1"/>
                <w:sz w:val="20"/>
                <w:szCs w:val="20"/>
              </w:rPr>
              <w:t>non-</w:t>
            </w:r>
            <w:r w:rsidRPr="0050243A">
              <w:rPr>
                <w:b/>
                <w:bCs/>
                <w:color w:val="000000" w:themeColor="text1"/>
                <w:spacing w:val="-2"/>
                <w:position w:val="1"/>
                <w:sz w:val="20"/>
                <w:szCs w:val="20"/>
              </w:rPr>
              <w:t>stationary.</w:t>
            </w:r>
          </w:p>
          <w:p w14:paraId="4E99CBC8" w14:textId="77777777" w:rsidR="00191ABF" w:rsidRPr="0050243A" w:rsidRDefault="00191ABF" w:rsidP="008546EF">
            <w:pPr>
              <w:pStyle w:val="TableParagraph"/>
              <w:ind w:right="78"/>
              <w:rPr>
                <w:b/>
                <w:bCs/>
                <w:color w:val="000000" w:themeColor="text1"/>
                <w:position w:val="1"/>
                <w:sz w:val="20"/>
                <w:szCs w:val="20"/>
              </w:rPr>
            </w:pPr>
            <w:r w:rsidRPr="0050243A">
              <w:rPr>
                <w:b/>
                <w:bCs/>
                <w:color w:val="000000" w:themeColor="text1"/>
                <w:position w:val="1"/>
                <w:sz w:val="20"/>
                <w:szCs w:val="20"/>
              </w:rPr>
              <w:t>H</w:t>
            </w:r>
            <w:r w:rsidRPr="0050243A">
              <w:rPr>
                <w:b/>
                <w:bCs/>
                <w:color w:val="000000" w:themeColor="text1"/>
                <w:sz w:val="20"/>
                <w:szCs w:val="20"/>
              </w:rPr>
              <w:t>1</w:t>
            </w:r>
            <w:r w:rsidRPr="0050243A">
              <w:rPr>
                <w:b/>
                <w:bCs/>
                <w:color w:val="000000" w:themeColor="text1"/>
                <w:position w:val="1"/>
                <w:sz w:val="20"/>
                <w:szCs w:val="20"/>
              </w:rPr>
              <w:t>:</w:t>
            </w:r>
            <w:r w:rsidRPr="0050243A">
              <w:rPr>
                <w:b/>
                <w:bCs/>
                <w:color w:val="000000" w:themeColor="text1"/>
                <w:spacing w:val="-1"/>
                <w:position w:val="1"/>
                <w:sz w:val="20"/>
                <w:szCs w:val="20"/>
              </w:rPr>
              <w:t xml:space="preserve"> </w:t>
            </w:r>
            <w:r w:rsidRPr="0050243A">
              <w:rPr>
                <w:b/>
                <w:bCs/>
                <w:color w:val="000000" w:themeColor="text1"/>
                <w:position w:val="1"/>
                <w:sz w:val="20"/>
                <w:szCs w:val="20"/>
              </w:rPr>
              <w:t>The</w:t>
            </w:r>
            <w:r w:rsidRPr="0050243A">
              <w:rPr>
                <w:b/>
                <w:bCs/>
                <w:color w:val="000000" w:themeColor="text1"/>
                <w:spacing w:val="-1"/>
                <w:position w:val="1"/>
                <w:sz w:val="20"/>
                <w:szCs w:val="20"/>
              </w:rPr>
              <w:t xml:space="preserve"> </w:t>
            </w:r>
            <w:r w:rsidRPr="0050243A">
              <w:rPr>
                <w:b/>
                <w:bCs/>
                <w:color w:val="000000" w:themeColor="text1"/>
                <w:position w:val="1"/>
                <w:sz w:val="20"/>
                <w:szCs w:val="20"/>
              </w:rPr>
              <w:t xml:space="preserve">series is </w:t>
            </w:r>
            <w:r w:rsidRPr="0050243A">
              <w:rPr>
                <w:b/>
                <w:bCs/>
                <w:color w:val="000000" w:themeColor="text1"/>
                <w:spacing w:val="-2"/>
                <w:position w:val="1"/>
                <w:sz w:val="20"/>
                <w:szCs w:val="20"/>
              </w:rPr>
              <w:t>stationary.</w:t>
            </w:r>
          </w:p>
        </w:tc>
      </w:tr>
      <w:tr w:rsidR="00191ABF" w:rsidRPr="0050243A" w14:paraId="0BBA60BF" w14:textId="77777777" w:rsidTr="008546EF">
        <w:trPr>
          <w:trHeight w:val="256"/>
        </w:trPr>
        <w:tc>
          <w:tcPr>
            <w:tcW w:w="1335" w:type="dxa"/>
            <w:vMerge/>
          </w:tcPr>
          <w:p w14:paraId="0A545401" w14:textId="77777777" w:rsidR="00191ABF" w:rsidRPr="0050243A" w:rsidRDefault="00191ABF" w:rsidP="008546EF">
            <w:pPr>
              <w:ind w:right="78"/>
              <w:rPr>
                <w:b/>
                <w:bCs/>
                <w:color w:val="000000" w:themeColor="text1"/>
                <w:sz w:val="20"/>
                <w:szCs w:val="20"/>
              </w:rPr>
            </w:pPr>
          </w:p>
        </w:tc>
        <w:tc>
          <w:tcPr>
            <w:tcW w:w="2811" w:type="dxa"/>
            <w:gridSpan w:val="4"/>
          </w:tcPr>
          <w:p w14:paraId="60275BBD"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 xml:space="preserve">Augmented Dickey-Fuller (ADF) </w:t>
            </w:r>
          </w:p>
        </w:tc>
        <w:tc>
          <w:tcPr>
            <w:tcW w:w="3045" w:type="dxa"/>
            <w:gridSpan w:val="4"/>
          </w:tcPr>
          <w:p w14:paraId="60F75666"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 xml:space="preserve">Phillips-Perron (PP) </w:t>
            </w:r>
          </w:p>
        </w:tc>
      </w:tr>
      <w:tr w:rsidR="00191ABF" w:rsidRPr="0050243A" w14:paraId="1C900E4D" w14:textId="77777777" w:rsidTr="008546EF">
        <w:trPr>
          <w:trHeight w:val="256"/>
        </w:trPr>
        <w:tc>
          <w:tcPr>
            <w:tcW w:w="1335" w:type="dxa"/>
            <w:vMerge/>
          </w:tcPr>
          <w:p w14:paraId="081E4320" w14:textId="77777777" w:rsidR="00191ABF" w:rsidRPr="0050243A" w:rsidRDefault="00191ABF" w:rsidP="008546EF">
            <w:pPr>
              <w:ind w:right="78"/>
              <w:rPr>
                <w:b/>
                <w:bCs/>
                <w:color w:val="000000" w:themeColor="text1"/>
                <w:sz w:val="20"/>
                <w:szCs w:val="20"/>
              </w:rPr>
            </w:pPr>
          </w:p>
        </w:tc>
        <w:tc>
          <w:tcPr>
            <w:tcW w:w="1400" w:type="dxa"/>
            <w:gridSpan w:val="2"/>
          </w:tcPr>
          <w:p w14:paraId="0C01DDE6"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 xml:space="preserve">I </w:t>
            </w:r>
            <w:r w:rsidRPr="0050243A">
              <w:rPr>
                <w:b/>
                <w:bCs/>
                <w:color w:val="000000" w:themeColor="text1"/>
                <w:spacing w:val="-5"/>
                <w:sz w:val="20"/>
                <w:szCs w:val="20"/>
              </w:rPr>
              <w:t>(0)</w:t>
            </w:r>
          </w:p>
        </w:tc>
        <w:tc>
          <w:tcPr>
            <w:tcW w:w="1411" w:type="dxa"/>
            <w:gridSpan w:val="2"/>
          </w:tcPr>
          <w:p w14:paraId="3EAA67AB"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 xml:space="preserve">I </w:t>
            </w:r>
            <w:r w:rsidRPr="0050243A">
              <w:rPr>
                <w:b/>
                <w:bCs/>
                <w:color w:val="000000" w:themeColor="text1"/>
                <w:spacing w:val="-5"/>
                <w:sz w:val="20"/>
                <w:szCs w:val="20"/>
              </w:rPr>
              <w:t>(1)</w:t>
            </w:r>
          </w:p>
        </w:tc>
        <w:tc>
          <w:tcPr>
            <w:tcW w:w="1559" w:type="dxa"/>
            <w:gridSpan w:val="2"/>
          </w:tcPr>
          <w:p w14:paraId="2A57DDEB"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 xml:space="preserve">I </w:t>
            </w:r>
            <w:r w:rsidRPr="0050243A">
              <w:rPr>
                <w:b/>
                <w:bCs/>
                <w:color w:val="000000" w:themeColor="text1"/>
                <w:spacing w:val="-5"/>
                <w:sz w:val="20"/>
                <w:szCs w:val="20"/>
              </w:rPr>
              <w:t>(0)</w:t>
            </w:r>
          </w:p>
        </w:tc>
        <w:tc>
          <w:tcPr>
            <w:tcW w:w="1485" w:type="dxa"/>
            <w:gridSpan w:val="2"/>
          </w:tcPr>
          <w:p w14:paraId="07E94F33"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I (1)</w:t>
            </w:r>
          </w:p>
        </w:tc>
      </w:tr>
      <w:tr w:rsidR="00191ABF" w:rsidRPr="0050243A" w14:paraId="3F193BC4" w14:textId="77777777" w:rsidTr="008546EF">
        <w:trPr>
          <w:trHeight w:val="259"/>
        </w:trPr>
        <w:tc>
          <w:tcPr>
            <w:tcW w:w="1335" w:type="dxa"/>
            <w:vMerge/>
          </w:tcPr>
          <w:p w14:paraId="5D817158" w14:textId="77777777" w:rsidR="00191ABF" w:rsidRPr="0050243A" w:rsidRDefault="00191ABF" w:rsidP="008546EF">
            <w:pPr>
              <w:ind w:right="78"/>
              <w:rPr>
                <w:b/>
                <w:bCs/>
                <w:color w:val="000000" w:themeColor="text1"/>
                <w:sz w:val="20"/>
                <w:szCs w:val="20"/>
              </w:rPr>
            </w:pPr>
          </w:p>
        </w:tc>
        <w:tc>
          <w:tcPr>
            <w:tcW w:w="732" w:type="dxa"/>
          </w:tcPr>
          <w:p w14:paraId="49E620D9"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t-</w:t>
            </w:r>
            <w:r w:rsidRPr="0050243A">
              <w:rPr>
                <w:b/>
                <w:bCs/>
                <w:color w:val="000000" w:themeColor="text1"/>
                <w:spacing w:val="-2"/>
                <w:sz w:val="20"/>
                <w:szCs w:val="20"/>
              </w:rPr>
              <w:t>stat</w:t>
            </w:r>
          </w:p>
        </w:tc>
        <w:tc>
          <w:tcPr>
            <w:tcW w:w="668" w:type="dxa"/>
          </w:tcPr>
          <w:p w14:paraId="1C87038B"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pacing w:val="-2"/>
                <w:sz w:val="20"/>
                <w:szCs w:val="20"/>
              </w:rPr>
              <w:t>p-value</w:t>
            </w:r>
          </w:p>
        </w:tc>
        <w:tc>
          <w:tcPr>
            <w:tcW w:w="742" w:type="dxa"/>
          </w:tcPr>
          <w:p w14:paraId="029FB5C1"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t</w:t>
            </w:r>
            <w:r w:rsidRPr="0050243A">
              <w:rPr>
                <w:b/>
                <w:bCs/>
                <w:color w:val="000000" w:themeColor="text1"/>
                <w:spacing w:val="-2"/>
                <w:sz w:val="20"/>
                <w:szCs w:val="20"/>
              </w:rPr>
              <w:t>-stat</w:t>
            </w:r>
          </w:p>
        </w:tc>
        <w:tc>
          <w:tcPr>
            <w:tcW w:w="668" w:type="dxa"/>
          </w:tcPr>
          <w:p w14:paraId="440C60D0"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pacing w:val="-2"/>
                <w:sz w:val="20"/>
                <w:szCs w:val="20"/>
              </w:rPr>
              <w:t>p-value</w:t>
            </w:r>
          </w:p>
        </w:tc>
        <w:tc>
          <w:tcPr>
            <w:tcW w:w="817" w:type="dxa"/>
          </w:tcPr>
          <w:p w14:paraId="29EAF225"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t-</w:t>
            </w:r>
            <w:r w:rsidRPr="0050243A">
              <w:rPr>
                <w:b/>
                <w:bCs/>
                <w:color w:val="000000" w:themeColor="text1"/>
                <w:spacing w:val="-2"/>
                <w:sz w:val="20"/>
                <w:szCs w:val="20"/>
              </w:rPr>
              <w:t>stat</w:t>
            </w:r>
          </w:p>
        </w:tc>
        <w:tc>
          <w:tcPr>
            <w:tcW w:w="742" w:type="dxa"/>
          </w:tcPr>
          <w:p w14:paraId="3558331C"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pacing w:val="-2"/>
                <w:sz w:val="20"/>
                <w:szCs w:val="20"/>
              </w:rPr>
              <w:t>p-value</w:t>
            </w:r>
          </w:p>
        </w:tc>
        <w:tc>
          <w:tcPr>
            <w:tcW w:w="742" w:type="dxa"/>
          </w:tcPr>
          <w:p w14:paraId="13AD7F75" w14:textId="77777777" w:rsidR="00191ABF" w:rsidRPr="0050243A" w:rsidRDefault="00191ABF" w:rsidP="008546EF">
            <w:pPr>
              <w:pStyle w:val="TableParagraph"/>
              <w:ind w:right="78"/>
              <w:rPr>
                <w:b/>
                <w:bCs/>
                <w:color w:val="000000" w:themeColor="text1"/>
                <w:spacing w:val="-2"/>
                <w:sz w:val="20"/>
                <w:szCs w:val="20"/>
              </w:rPr>
            </w:pPr>
            <w:r w:rsidRPr="0050243A">
              <w:rPr>
                <w:b/>
                <w:bCs/>
                <w:color w:val="000000" w:themeColor="text1"/>
                <w:spacing w:val="-2"/>
                <w:sz w:val="20"/>
                <w:szCs w:val="20"/>
              </w:rPr>
              <w:t>t-stat</w:t>
            </w:r>
          </w:p>
        </w:tc>
        <w:tc>
          <w:tcPr>
            <w:tcW w:w="742" w:type="dxa"/>
          </w:tcPr>
          <w:p w14:paraId="01FF6D85" w14:textId="77777777" w:rsidR="00191ABF" w:rsidRPr="0050243A" w:rsidRDefault="00191ABF" w:rsidP="008546EF">
            <w:pPr>
              <w:pStyle w:val="TableParagraph"/>
              <w:ind w:right="78"/>
              <w:rPr>
                <w:b/>
                <w:bCs/>
                <w:color w:val="000000" w:themeColor="text1"/>
                <w:spacing w:val="-2"/>
                <w:sz w:val="20"/>
                <w:szCs w:val="20"/>
              </w:rPr>
            </w:pPr>
            <w:r w:rsidRPr="0050243A">
              <w:rPr>
                <w:b/>
                <w:bCs/>
                <w:color w:val="000000" w:themeColor="text1"/>
                <w:spacing w:val="-2"/>
                <w:sz w:val="20"/>
                <w:szCs w:val="20"/>
              </w:rPr>
              <w:t>p-value</w:t>
            </w:r>
          </w:p>
        </w:tc>
      </w:tr>
      <w:tr w:rsidR="00191ABF" w:rsidRPr="0050243A" w14:paraId="3A55156D" w14:textId="77777777" w:rsidTr="008546EF">
        <w:trPr>
          <w:trHeight w:val="256"/>
        </w:trPr>
        <w:tc>
          <w:tcPr>
            <w:tcW w:w="1335" w:type="dxa"/>
          </w:tcPr>
          <w:p w14:paraId="4616ADBD"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Remittances</w:t>
            </w:r>
          </w:p>
        </w:tc>
        <w:tc>
          <w:tcPr>
            <w:tcW w:w="732" w:type="dxa"/>
          </w:tcPr>
          <w:p w14:paraId="6F140CD7"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-2.9321</w:t>
            </w:r>
          </w:p>
        </w:tc>
        <w:tc>
          <w:tcPr>
            <w:tcW w:w="668" w:type="dxa"/>
          </w:tcPr>
          <w:p w14:paraId="6F3D847F"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0.2166</w:t>
            </w:r>
          </w:p>
        </w:tc>
        <w:tc>
          <w:tcPr>
            <w:tcW w:w="742" w:type="dxa"/>
          </w:tcPr>
          <w:p w14:paraId="2610E7A9"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-3.8539</w:t>
            </w:r>
          </w:p>
        </w:tc>
        <w:tc>
          <w:tcPr>
            <w:tcW w:w="668" w:type="dxa"/>
          </w:tcPr>
          <w:p w14:paraId="71940B0B"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0.0318</w:t>
            </w:r>
          </w:p>
        </w:tc>
        <w:tc>
          <w:tcPr>
            <w:tcW w:w="817" w:type="dxa"/>
          </w:tcPr>
          <w:p w14:paraId="57789E3B"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-16.194</w:t>
            </w:r>
          </w:p>
        </w:tc>
        <w:tc>
          <w:tcPr>
            <w:tcW w:w="742" w:type="dxa"/>
          </w:tcPr>
          <w:p w14:paraId="495B1360"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0.089</w:t>
            </w:r>
          </w:p>
        </w:tc>
        <w:tc>
          <w:tcPr>
            <w:tcW w:w="742" w:type="dxa"/>
          </w:tcPr>
          <w:p w14:paraId="460330D4" w14:textId="77777777" w:rsidR="00191ABF" w:rsidRPr="0050243A" w:rsidRDefault="00191ABF" w:rsidP="008546EF">
            <w:pPr>
              <w:pStyle w:val="TableParagraph"/>
              <w:ind w:right="78"/>
              <w:rPr>
                <w:color w:val="000000" w:themeColor="text1"/>
                <w:spacing w:val="-4"/>
                <w:sz w:val="20"/>
                <w:szCs w:val="20"/>
              </w:rPr>
            </w:pPr>
            <w:r w:rsidRPr="0050243A">
              <w:rPr>
                <w:color w:val="000000" w:themeColor="text1"/>
                <w:spacing w:val="-4"/>
                <w:sz w:val="20"/>
                <w:szCs w:val="20"/>
              </w:rPr>
              <w:t>-23.026</w:t>
            </w:r>
          </w:p>
        </w:tc>
        <w:tc>
          <w:tcPr>
            <w:tcW w:w="742" w:type="dxa"/>
          </w:tcPr>
          <w:p w14:paraId="0374FE86" w14:textId="77777777" w:rsidR="00191ABF" w:rsidRPr="0050243A" w:rsidRDefault="00191ABF" w:rsidP="008546EF">
            <w:pPr>
              <w:pStyle w:val="TableParagraph"/>
              <w:ind w:right="78"/>
              <w:rPr>
                <w:color w:val="000000" w:themeColor="text1"/>
                <w:spacing w:val="-4"/>
                <w:sz w:val="20"/>
                <w:szCs w:val="20"/>
              </w:rPr>
            </w:pPr>
            <w:r w:rsidRPr="0050243A">
              <w:rPr>
                <w:color w:val="000000" w:themeColor="text1"/>
                <w:spacing w:val="-4"/>
                <w:sz w:val="20"/>
                <w:szCs w:val="20"/>
              </w:rPr>
              <w:t>0.01</w:t>
            </w:r>
          </w:p>
        </w:tc>
      </w:tr>
      <w:tr w:rsidR="00191ABF" w:rsidRPr="0050243A" w14:paraId="764A24C2" w14:textId="77777777" w:rsidTr="008546EF">
        <w:trPr>
          <w:trHeight w:val="256"/>
        </w:trPr>
        <w:tc>
          <w:tcPr>
            <w:tcW w:w="1335" w:type="dxa"/>
          </w:tcPr>
          <w:p w14:paraId="6D23B9A8"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GDP_PC</w:t>
            </w:r>
          </w:p>
        </w:tc>
        <w:tc>
          <w:tcPr>
            <w:tcW w:w="732" w:type="dxa"/>
          </w:tcPr>
          <w:p w14:paraId="0E9651AE"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-1.644</w:t>
            </w:r>
          </w:p>
        </w:tc>
        <w:tc>
          <w:tcPr>
            <w:tcW w:w="668" w:type="dxa"/>
          </w:tcPr>
          <w:p w14:paraId="37C82633"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0.7084</w:t>
            </w:r>
          </w:p>
        </w:tc>
        <w:tc>
          <w:tcPr>
            <w:tcW w:w="742" w:type="dxa"/>
          </w:tcPr>
          <w:p w14:paraId="146E4FE4"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-3.5689</w:t>
            </w:r>
          </w:p>
        </w:tc>
        <w:tc>
          <w:tcPr>
            <w:tcW w:w="668" w:type="dxa"/>
          </w:tcPr>
          <w:p w14:paraId="66FB9DBD"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0.0453</w:t>
            </w:r>
          </w:p>
        </w:tc>
        <w:tc>
          <w:tcPr>
            <w:tcW w:w="817" w:type="dxa"/>
          </w:tcPr>
          <w:p w14:paraId="5DDF598A"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10"/>
                <w:sz w:val="20"/>
                <w:szCs w:val="20"/>
              </w:rPr>
              <w:t>-25.506</w:t>
            </w:r>
          </w:p>
        </w:tc>
        <w:tc>
          <w:tcPr>
            <w:tcW w:w="742" w:type="dxa"/>
          </w:tcPr>
          <w:p w14:paraId="5C7AE2F7"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10"/>
                <w:sz w:val="20"/>
                <w:szCs w:val="20"/>
              </w:rPr>
              <w:t>0.01</w:t>
            </w:r>
          </w:p>
        </w:tc>
        <w:tc>
          <w:tcPr>
            <w:tcW w:w="742" w:type="dxa"/>
          </w:tcPr>
          <w:p w14:paraId="716203C8" w14:textId="77777777" w:rsidR="00191ABF" w:rsidRPr="0050243A" w:rsidRDefault="00191ABF" w:rsidP="008546EF">
            <w:pPr>
              <w:pStyle w:val="TableParagraph"/>
              <w:ind w:right="78"/>
              <w:rPr>
                <w:color w:val="000000" w:themeColor="text1"/>
                <w:spacing w:val="-10"/>
                <w:sz w:val="20"/>
                <w:szCs w:val="20"/>
              </w:rPr>
            </w:pPr>
            <w:r w:rsidRPr="0050243A">
              <w:rPr>
                <w:color w:val="000000" w:themeColor="text1"/>
                <w:spacing w:val="-10"/>
                <w:sz w:val="20"/>
                <w:szCs w:val="20"/>
              </w:rPr>
              <w:t>-</w:t>
            </w:r>
          </w:p>
        </w:tc>
        <w:tc>
          <w:tcPr>
            <w:tcW w:w="742" w:type="dxa"/>
          </w:tcPr>
          <w:p w14:paraId="5837F8A1" w14:textId="77777777" w:rsidR="00191ABF" w:rsidRPr="0050243A" w:rsidRDefault="00191ABF" w:rsidP="008546EF">
            <w:pPr>
              <w:pStyle w:val="TableParagraph"/>
              <w:ind w:right="78"/>
              <w:rPr>
                <w:color w:val="000000" w:themeColor="text1"/>
                <w:spacing w:val="-10"/>
                <w:sz w:val="20"/>
                <w:szCs w:val="20"/>
              </w:rPr>
            </w:pPr>
            <w:r w:rsidRPr="0050243A">
              <w:rPr>
                <w:color w:val="000000" w:themeColor="text1"/>
                <w:spacing w:val="-10"/>
                <w:sz w:val="20"/>
                <w:szCs w:val="20"/>
              </w:rPr>
              <w:t>-</w:t>
            </w:r>
          </w:p>
        </w:tc>
      </w:tr>
      <w:tr w:rsidR="00191ABF" w:rsidRPr="0050243A" w14:paraId="49A212CD" w14:textId="77777777" w:rsidTr="008546EF">
        <w:trPr>
          <w:trHeight w:val="257"/>
        </w:trPr>
        <w:tc>
          <w:tcPr>
            <w:tcW w:w="1335" w:type="dxa"/>
          </w:tcPr>
          <w:p w14:paraId="15711260" w14:textId="77777777" w:rsidR="00191ABF" w:rsidRPr="0050243A" w:rsidRDefault="00191ABF" w:rsidP="008546EF">
            <w:pPr>
              <w:pStyle w:val="TableParagraph"/>
              <w:ind w:right="78"/>
              <w:rPr>
                <w:color w:val="000000" w:themeColor="text1"/>
                <w:sz w:val="20"/>
                <w:szCs w:val="20"/>
              </w:rPr>
            </w:pPr>
            <w:proofErr w:type="spellStart"/>
            <w:r w:rsidRPr="0050243A">
              <w:rPr>
                <w:color w:val="000000" w:themeColor="text1"/>
                <w:spacing w:val="-2"/>
                <w:sz w:val="20"/>
                <w:szCs w:val="20"/>
              </w:rPr>
              <w:t>Unem_R</w:t>
            </w:r>
            <w:proofErr w:type="spellEnd"/>
          </w:p>
        </w:tc>
        <w:tc>
          <w:tcPr>
            <w:tcW w:w="732" w:type="dxa"/>
          </w:tcPr>
          <w:p w14:paraId="2DDAB5EE"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-5.1639</w:t>
            </w:r>
          </w:p>
        </w:tc>
        <w:tc>
          <w:tcPr>
            <w:tcW w:w="668" w:type="dxa"/>
          </w:tcPr>
          <w:p w14:paraId="3A82491F"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0.01</w:t>
            </w:r>
          </w:p>
        </w:tc>
        <w:tc>
          <w:tcPr>
            <w:tcW w:w="742" w:type="dxa"/>
          </w:tcPr>
          <w:p w14:paraId="333C060D"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w:t>
            </w:r>
          </w:p>
        </w:tc>
        <w:tc>
          <w:tcPr>
            <w:tcW w:w="668" w:type="dxa"/>
          </w:tcPr>
          <w:p w14:paraId="20C0E7C2"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w:t>
            </w:r>
          </w:p>
        </w:tc>
        <w:tc>
          <w:tcPr>
            <w:tcW w:w="817" w:type="dxa"/>
          </w:tcPr>
          <w:p w14:paraId="2387B872"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10"/>
                <w:sz w:val="20"/>
                <w:szCs w:val="20"/>
              </w:rPr>
              <w:t>-25.471</w:t>
            </w:r>
          </w:p>
        </w:tc>
        <w:tc>
          <w:tcPr>
            <w:tcW w:w="742" w:type="dxa"/>
          </w:tcPr>
          <w:p w14:paraId="28BBC562"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10"/>
                <w:sz w:val="20"/>
                <w:szCs w:val="20"/>
              </w:rPr>
              <w:t>0.01</w:t>
            </w:r>
          </w:p>
        </w:tc>
        <w:tc>
          <w:tcPr>
            <w:tcW w:w="742" w:type="dxa"/>
          </w:tcPr>
          <w:p w14:paraId="468FFD85" w14:textId="77777777" w:rsidR="00191ABF" w:rsidRPr="0050243A" w:rsidRDefault="00191ABF" w:rsidP="008546EF">
            <w:pPr>
              <w:pStyle w:val="TableParagraph"/>
              <w:ind w:right="78"/>
              <w:rPr>
                <w:color w:val="000000" w:themeColor="text1"/>
                <w:spacing w:val="-10"/>
                <w:sz w:val="20"/>
                <w:szCs w:val="20"/>
              </w:rPr>
            </w:pPr>
            <w:r w:rsidRPr="0050243A">
              <w:rPr>
                <w:color w:val="000000" w:themeColor="text1"/>
                <w:spacing w:val="-10"/>
                <w:sz w:val="20"/>
                <w:szCs w:val="20"/>
              </w:rPr>
              <w:t>-</w:t>
            </w:r>
          </w:p>
        </w:tc>
        <w:tc>
          <w:tcPr>
            <w:tcW w:w="742" w:type="dxa"/>
          </w:tcPr>
          <w:p w14:paraId="1CFDA4A5" w14:textId="77777777" w:rsidR="00191ABF" w:rsidRPr="0050243A" w:rsidRDefault="00191ABF" w:rsidP="008546EF">
            <w:pPr>
              <w:pStyle w:val="TableParagraph"/>
              <w:ind w:right="78"/>
              <w:rPr>
                <w:color w:val="000000" w:themeColor="text1"/>
                <w:spacing w:val="-10"/>
                <w:sz w:val="20"/>
                <w:szCs w:val="20"/>
              </w:rPr>
            </w:pPr>
            <w:r w:rsidRPr="0050243A">
              <w:rPr>
                <w:color w:val="000000" w:themeColor="text1"/>
                <w:spacing w:val="-10"/>
                <w:sz w:val="20"/>
                <w:szCs w:val="20"/>
              </w:rPr>
              <w:t>-</w:t>
            </w:r>
          </w:p>
        </w:tc>
      </w:tr>
      <w:tr w:rsidR="00191ABF" w:rsidRPr="0050243A" w14:paraId="327F1A4D" w14:textId="77777777" w:rsidTr="008546EF">
        <w:trPr>
          <w:trHeight w:val="256"/>
        </w:trPr>
        <w:tc>
          <w:tcPr>
            <w:tcW w:w="1335" w:type="dxa"/>
          </w:tcPr>
          <w:p w14:paraId="69B8198A"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Exchange</w:t>
            </w:r>
          </w:p>
        </w:tc>
        <w:tc>
          <w:tcPr>
            <w:tcW w:w="732" w:type="dxa"/>
          </w:tcPr>
          <w:p w14:paraId="56B89F85"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-1.9138</w:t>
            </w:r>
          </w:p>
        </w:tc>
        <w:tc>
          <w:tcPr>
            <w:tcW w:w="668" w:type="dxa"/>
          </w:tcPr>
          <w:p w14:paraId="03CC89BC"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0.6054</w:t>
            </w:r>
          </w:p>
        </w:tc>
        <w:tc>
          <w:tcPr>
            <w:tcW w:w="742" w:type="dxa"/>
          </w:tcPr>
          <w:p w14:paraId="58CCB1A9"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-3.9316</w:t>
            </w:r>
          </w:p>
        </w:tc>
        <w:tc>
          <w:tcPr>
            <w:tcW w:w="668" w:type="dxa"/>
          </w:tcPr>
          <w:p w14:paraId="3FC87B5C"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0.0263</w:t>
            </w:r>
          </w:p>
        </w:tc>
        <w:tc>
          <w:tcPr>
            <w:tcW w:w="817" w:type="dxa"/>
          </w:tcPr>
          <w:p w14:paraId="09313F88"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-13.583</w:t>
            </w:r>
          </w:p>
        </w:tc>
        <w:tc>
          <w:tcPr>
            <w:tcW w:w="742" w:type="dxa"/>
          </w:tcPr>
          <w:p w14:paraId="415F0658"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0.2378</w:t>
            </w:r>
          </w:p>
        </w:tc>
        <w:tc>
          <w:tcPr>
            <w:tcW w:w="742" w:type="dxa"/>
          </w:tcPr>
          <w:p w14:paraId="758331D0" w14:textId="77777777" w:rsidR="00191ABF" w:rsidRPr="0050243A" w:rsidRDefault="00191ABF" w:rsidP="008546EF">
            <w:pPr>
              <w:pStyle w:val="TableParagraph"/>
              <w:ind w:right="78"/>
              <w:rPr>
                <w:color w:val="000000" w:themeColor="text1"/>
                <w:spacing w:val="-4"/>
                <w:sz w:val="20"/>
                <w:szCs w:val="20"/>
              </w:rPr>
            </w:pPr>
            <w:r w:rsidRPr="0050243A">
              <w:rPr>
                <w:color w:val="000000" w:themeColor="text1"/>
                <w:spacing w:val="-4"/>
                <w:sz w:val="20"/>
                <w:szCs w:val="20"/>
              </w:rPr>
              <w:t>-23.459</w:t>
            </w:r>
          </w:p>
        </w:tc>
        <w:tc>
          <w:tcPr>
            <w:tcW w:w="742" w:type="dxa"/>
          </w:tcPr>
          <w:p w14:paraId="451ADC38" w14:textId="77777777" w:rsidR="00191ABF" w:rsidRPr="0050243A" w:rsidRDefault="00191ABF" w:rsidP="008546EF">
            <w:pPr>
              <w:pStyle w:val="TableParagraph"/>
              <w:ind w:right="78"/>
              <w:rPr>
                <w:color w:val="000000" w:themeColor="text1"/>
                <w:spacing w:val="-4"/>
                <w:sz w:val="20"/>
                <w:szCs w:val="20"/>
              </w:rPr>
            </w:pPr>
            <w:r w:rsidRPr="0050243A">
              <w:rPr>
                <w:color w:val="000000" w:themeColor="text1"/>
                <w:spacing w:val="-4"/>
                <w:sz w:val="20"/>
                <w:szCs w:val="20"/>
              </w:rPr>
              <w:t>0.01</w:t>
            </w:r>
          </w:p>
        </w:tc>
      </w:tr>
      <w:tr w:rsidR="00191ABF" w:rsidRPr="0050243A" w14:paraId="76387FCF" w14:textId="77777777" w:rsidTr="008546EF">
        <w:trPr>
          <w:trHeight w:val="256"/>
        </w:trPr>
        <w:tc>
          <w:tcPr>
            <w:tcW w:w="1335" w:type="dxa"/>
          </w:tcPr>
          <w:p w14:paraId="5120BA2A"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Inflation</w:t>
            </w:r>
          </w:p>
        </w:tc>
        <w:tc>
          <w:tcPr>
            <w:tcW w:w="732" w:type="dxa"/>
          </w:tcPr>
          <w:p w14:paraId="6F92ADF4"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-4.3675</w:t>
            </w:r>
          </w:p>
        </w:tc>
        <w:tc>
          <w:tcPr>
            <w:tcW w:w="668" w:type="dxa"/>
          </w:tcPr>
          <w:p w14:paraId="69285B88"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0.0101</w:t>
            </w:r>
          </w:p>
        </w:tc>
        <w:tc>
          <w:tcPr>
            <w:tcW w:w="742" w:type="dxa"/>
          </w:tcPr>
          <w:p w14:paraId="4C4C4DD7"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10"/>
                <w:sz w:val="20"/>
                <w:szCs w:val="20"/>
              </w:rPr>
              <w:t>-</w:t>
            </w:r>
          </w:p>
        </w:tc>
        <w:tc>
          <w:tcPr>
            <w:tcW w:w="668" w:type="dxa"/>
          </w:tcPr>
          <w:p w14:paraId="26531E5A"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10"/>
                <w:sz w:val="20"/>
                <w:szCs w:val="20"/>
              </w:rPr>
              <w:t>-</w:t>
            </w:r>
          </w:p>
        </w:tc>
        <w:tc>
          <w:tcPr>
            <w:tcW w:w="817" w:type="dxa"/>
          </w:tcPr>
          <w:p w14:paraId="5DC03617"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10"/>
                <w:sz w:val="20"/>
                <w:szCs w:val="20"/>
              </w:rPr>
              <w:t>-27.645</w:t>
            </w:r>
          </w:p>
        </w:tc>
        <w:tc>
          <w:tcPr>
            <w:tcW w:w="742" w:type="dxa"/>
          </w:tcPr>
          <w:p w14:paraId="31E7F091"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10"/>
                <w:sz w:val="20"/>
                <w:szCs w:val="20"/>
              </w:rPr>
              <w:t>0.01</w:t>
            </w:r>
          </w:p>
        </w:tc>
        <w:tc>
          <w:tcPr>
            <w:tcW w:w="742" w:type="dxa"/>
          </w:tcPr>
          <w:p w14:paraId="2A04A6D8" w14:textId="77777777" w:rsidR="00191ABF" w:rsidRPr="0050243A" w:rsidRDefault="00191ABF" w:rsidP="008546EF">
            <w:pPr>
              <w:pStyle w:val="TableParagraph"/>
              <w:ind w:right="78"/>
              <w:rPr>
                <w:color w:val="000000" w:themeColor="text1"/>
                <w:spacing w:val="-10"/>
                <w:sz w:val="20"/>
                <w:szCs w:val="20"/>
              </w:rPr>
            </w:pPr>
            <w:r w:rsidRPr="0050243A">
              <w:rPr>
                <w:color w:val="000000" w:themeColor="text1"/>
                <w:spacing w:val="-10"/>
                <w:sz w:val="20"/>
                <w:szCs w:val="20"/>
              </w:rPr>
              <w:t>-</w:t>
            </w:r>
          </w:p>
        </w:tc>
        <w:tc>
          <w:tcPr>
            <w:tcW w:w="742" w:type="dxa"/>
          </w:tcPr>
          <w:p w14:paraId="0F8180D7" w14:textId="77777777" w:rsidR="00191ABF" w:rsidRPr="0050243A" w:rsidRDefault="00191ABF" w:rsidP="008546EF">
            <w:pPr>
              <w:pStyle w:val="TableParagraph"/>
              <w:ind w:right="78"/>
              <w:rPr>
                <w:color w:val="000000" w:themeColor="text1"/>
                <w:spacing w:val="-10"/>
                <w:sz w:val="20"/>
                <w:szCs w:val="20"/>
              </w:rPr>
            </w:pPr>
            <w:r w:rsidRPr="0050243A">
              <w:rPr>
                <w:color w:val="000000" w:themeColor="text1"/>
                <w:spacing w:val="-10"/>
                <w:sz w:val="20"/>
                <w:szCs w:val="20"/>
              </w:rPr>
              <w:t>-</w:t>
            </w:r>
          </w:p>
        </w:tc>
      </w:tr>
      <w:tr w:rsidR="00191ABF" w:rsidRPr="0050243A" w14:paraId="7207DED3" w14:textId="77777777" w:rsidTr="008546EF">
        <w:trPr>
          <w:trHeight w:val="259"/>
        </w:trPr>
        <w:tc>
          <w:tcPr>
            <w:tcW w:w="1335" w:type="dxa"/>
          </w:tcPr>
          <w:p w14:paraId="708C21E1" w14:textId="77777777" w:rsidR="00191ABF" w:rsidRPr="0050243A" w:rsidRDefault="00191ABF" w:rsidP="008546EF">
            <w:pPr>
              <w:pStyle w:val="TableParagraph"/>
              <w:ind w:right="78"/>
              <w:rPr>
                <w:color w:val="000000" w:themeColor="text1"/>
                <w:sz w:val="20"/>
                <w:szCs w:val="20"/>
              </w:rPr>
            </w:pPr>
            <w:proofErr w:type="spellStart"/>
            <w:r w:rsidRPr="0050243A">
              <w:rPr>
                <w:color w:val="000000" w:themeColor="text1"/>
                <w:spacing w:val="-2"/>
                <w:sz w:val="20"/>
                <w:szCs w:val="20"/>
              </w:rPr>
              <w:t>Lending_IR</w:t>
            </w:r>
            <w:proofErr w:type="spellEnd"/>
          </w:p>
        </w:tc>
        <w:tc>
          <w:tcPr>
            <w:tcW w:w="732" w:type="dxa"/>
          </w:tcPr>
          <w:p w14:paraId="4AFCB457"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-3.0593</w:t>
            </w:r>
          </w:p>
        </w:tc>
        <w:tc>
          <w:tcPr>
            <w:tcW w:w="668" w:type="dxa"/>
          </w:tcPr>
          <w:p w14:paraId="5B9F5455"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0.1681</w:t>
            </w:r>
          </w:p>
        </w:tc>
        <w:tc>
          <w:tcPr>
            <w:tcW w:w="742" w:type="dxa"/>
          </w:tcPr>
          <w:p w14:paraId="0A731BD8"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-4.2695</w:t>
            </w:r>
          </w:p>
        </w:tc>
        <w:tc>
          <w:tcPr>
            <w:tcW w:w="668" w:type="dxa"/>
          </w:tcPr>
          <w:p w14:paraId="7CFFF493"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0.0138</w:t>
            </w:r>
          </w:p>
        </w:tc>
        <w:tc>
          <w:tcPr>
            <w:tcW w:w="817" w:type="dxa"/>
          </w:tcPr>
          <w:p w14:paraId="025693B5"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-17.921</w:t>
            </w:r>
          </w:p>
        </w:tc>
        <w:tc>
          <w:tcPr>
            <w:tcW w:w="742" w:type="dxa"/>
          </w:tcPr>
          <w:p w14:paraId="4E6D343C"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0.0511</w:t>
            </w:r>
          </w:p>
        </w:tc>
        <w:tc>
          <w:tcPr>
            <w:tcW w:w="742" w:type="dxa"/>
          </w:tcPr>
          <w:p w14:paraId="4E79C574" w14:textId="77777777" w:rsidR="00191ABF" w:rsidRPr="0050243A" w:rsidRDefault="00191ABF" w:rsidP="008546EF">
            <w:pPr>
              <w:pStyle w:val="TableParagraph"/>
              <w:ind w:right="78"/>
              <w:rPr>
                <w:color w:val="000000" w:themeColor="text1"/>
                <w:spacing w:val="-4"/>
                <w:sz w:val="20"/>
                <w:szCs w:val="20"/>
              </w:rPr>
            </w:pPr>
            <w:r w:rsidRPr="0050243A">
              <w:rPr>
                <w:color w:val="000000" w:themeColor="text1"/>
                <w:spacing w:val="-4"/>
                <w:sz w:val="20"/>
                <w:szCs w:val="20"/>
              </w:rPr>
              <w:t>-26.806</w:t>
            </w:r>
          </w:p>
        </w:tc>
        <w:tc>
          <w:tcPr>
            <w:tcW w:w="742" w:type="dxa"/>
          </w:tcPr>
          <w:p w14:paraId="3098D3F3" w14:textId="77777777" w:rsidR="00191ABF" w:rsidRPr="0050243A" w:rsidRDefault="00191ABF" w:rsidP="008546EF">
            <w:pPr>
              <w:pStyle w:val="TableParagraph"/>
              <w:ind w:right="78"/>
              <w:rPr>
                <w:color w:val="000000" w:themeColor="text1"/>
                <w:spacing w:val="-4"/>
                <w:sz w:val="20"/>
                <w:szCs w:val="20"/>
              </w:rPr>
            </w:pPr>
            <w:r w:rsidRPr="0050243A">
              <w:rPr>
                <w:color w:val="000000" w:themeColor="text1"/>
                <w:spacing w:val="-4"/>
                <w:sz w:val="20"/>
                <w:szCs w:val="20"/>
              </w:rPr>
              <w:t>0.01</w:t>
            </w:r>
          </w:p>
        </w:tc>
      </w:tr>
      <w:tr w:rsidR="00191ABF" w:rsidRPr="0050243A" w14:paraId="47DFC1C5" w14:textId="77777777" w:rsidTr="008546EF">
        <w:trPr>
          <w:trHeight w:val="256"/>
        </w:trPr>
        <w:tc>
          <w:tcPr>
            <w:tcW w:w="1335" w:type="dxa"/>
          </w:tcPr>
          <w:p w14:paraId="32FC44C8" w14:textId="77777777" w:rsidR="00191ABF" w:rsidRPr="0050243A" w:rsidRDefault="00191ABF" w:rsidP="008546EF">
            <w:pPr>
              <w:pStyle w:val="TableParagraph"/>
              <w:ind w:right="78"/>
              <w:rPr>
                <w:color w:val="000000" w:themeColor="text1"/>
                <w:sz w:val="20"/>
                <w:szCs w:val="20"/>
              </w:rPr>
            </w:pPr>
            <w:proofErr w:type="spellStart"/>
            <w:r w:rsidRPr="0050243A">
              <w:rPr>
                <w:color w:val="000000" w:themeColor="text1"/>
                <w:spacing w:val="-2"/>
                <w:sz w:val="20"/>
                <w:szCs w:val="20"/>
              </w:rPr>
              <w:t>Interest_RS</w:t>
            </w:r>
            <w:proofErr w:type="spellEnd"/>
          </w:p>
        </w:tc>
        <w:tc>
          <w:tcPr>
            <w:tcW w:w="732" w:type="dxa"/>
          </w:tcPr>
          <w:p w14:paraId="12E77783"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-3.8522</w:t>
            </w:r>
          </w:p>
        </w:tc>
        <w:tc>
          <w:tcPr>
            <w:tcW w:w="668" w:type="dxa"/>
          </w:tcPr>
          <w:p w14:paraId="54E0A1AC"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0.0319</w:t>
            </w:r>
          </w:p>
        </w:tc>
        <w:tc>
          <w:tcPr>
            <w:tcW w:w="742" w:type="dxa"/>
          </w:tcPr>
          <w:p w14:paraId="48A72F75"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w:t>
            </w:r>
          </w:p>
        </w:tc>
        <w:tc>
          <w:tcPr>
            <w:tcW w:w="668" w:type="dxa"/>
          </w:tcPr>
          <w:p w14:paraId="50D46B87"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w:t>
            </w:r>
          </w:p>
        </w:tc>
        <w:tc>
          <w:tcPr>
            <w:tcW w:w="817" w:type="dxa"/>
          </w:tcPr>
          <w:p w14:paraId="002DF396"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10"/>
                <w:sz w:val="20"/>
                <w:szCs w:val="20"/>
              </w:rPr>
              <w:t>25.3</w:t>
            </w:r>
          </w:p>
        </w:tc>
        <w:tc>
          <w:tcPr>
            <w:tcW w:w="742" w:type="dxa"/>
          </w:tcPr>
          <w:p w14:paraId="7DE6774A"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10"/>
                <w:sz w:val="20"/>
                <w:szCs w:val="20"/>
              </w:rPr>
              <w:t>0.01</w:t>
            </w:r>
          </w:p>
        </w:tc>
        <w:tc>
          <w:tcPr>
            <w:tcW w:w="742" w:type="dxa"/>
          </w:tcPr>
          <w:p w14:paraId="0D7B3BC3" w14:textId="77777777" w:rsidR="00191ABF" w:rsidRPr="0050243A" w:rsidRDefault="00191ABF" w:rsidP="008546EF">
            <w:pPr>
              <w:pStyle w:val="TableParagraph"/>
              <w:ind w:right="78"/>
              <w:rPr>
                <w:color w:val="000000" w:themeColor="text1"/>
                <w:spacing w:val="-10"/>
                <w:sz w:val="20"/>
                <w:szCs w:val="20"/>
              </w:rPr>
            </w:pPr>
            <w:r w:rsidRPr="0050243A">
              <w:rPr>
                <w:color w:val="000000" w:themeColor="text1"/>
                <w:spacing w:val="-10"/>
                <w:sz w:val="20"/>
                <w:szCs w:val="20"/>
              </w:rPr>
              <w:t>-</w:t>
            </w:r>
          </w:p>
        </w:tc>
        <w:tc>
          <w:tcPr>
            <w:tcW w:w="742" w:type="dxa"/>
          </w:tcPr>
          <w:p w14:paraId="4BB05CAA" w14:textId="77777777" w:rsidR="00191ABF" w:rsidRPr="0050243A" w:rsidRDefault="00191ABF" w:rsidP="008546EF">
            <w:pPr>
              <w:pStyle w:val="TableParagraph"/>
              <w:ind w:right="78"/>
              <w:rPr>
                <w:color w:val="000000" w:themeColor="text1"/>
                <w:spacing w:val="-10"/>
                <w:sz w:val="20"/>
                <w:szCs w:val="20"/>
              </w:rPr>
            </w:pPr>
            <w:r w:rsidRPr="0050243A">
              <w:rPr>
                <w:color w:val="000000" w:themeColor="text1"/>
                <w:spacing w:val="-10"/>
                <w:sz w:val="20"/>
                <w:szCs w:val="20"/>
              </w:rPr>
              <w:t>-</w:t>
            </w:r>
          </w:p>
        </w:tc>
      </w:tr>
      <w:tr w:rsidR="00191ABF" w:rsidRPr="0050243A" w14:paraId="327EA4AE" w14:textId="77777777" w:rsidTr="008546EF">
        <w:trPr>
          <w:trHeight w:val="256"/>
        </w:trPr>
        <w:tc>
          <w:tcPr>
            <w:tcW w:w="1335" w:type="dxa"/>
          </w:tcPr>
          <w:p w14:paraId="6E197E80" w14:textId="77777777" w:rsidR="00191ABF" w:rsidRPr="0050243A" w:rsidRDefault="00191ABF" w:rsidP="008546EF">
            <w:pPr>
              <w:pStyle w:val="TableParagraph"/>
              <w:ind w:right="78"/>
              <w:rPr>
                <w:color w:val="000000" w:themeColor="text1"/>
                <w:sz w:val="20"/>
                <w:szCs w:val="20"/>
              </w:rPr>
            </w:pPr>
            <w:proofErr w:type="spellStart"/>
            <w:r w:rsidRPr="0050243A">
              <w:rPr>
                <w:color w:val="000000" w:themeColor="text1"/>
                <w:spacing w:val="-2"/>
                <w:sz w:val="20"/>
                <w:szCs w:val="20"/>
              </w:rPr>
              <w:t>Political_SAV</w:t>
            </w:r>
            <w:proofErr w:type="spellEnd"/>
          </w:p>
        </w:tc>
        <w:tc>
          <w:tcPr>
            <w:tcW w:w="732" w:type="dxa"/>
          </w:tcPr>
          <w:p w14:paraId="6316EFD5"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-3.6463</w:t>
            </w:r>
          </w:p>
        </w:tc>
        <w:tc>
          <w:tcPr>
            <w:tcW w:w="668" w:type="dxa"/>
          </w:tcPr>
          <w:p w14:paraId="01FB979F"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0.0463</w:t>
            </w:r>
          </w:p>
        </w:tc>
        <w:tc>
          <w:tcPr>
            <w:tcW w:w="742" w:type="dxa"/>
          </w:tcPr>
          <w:p w14:paraId="2BF46F0D"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w:t>
            </w:r>
          </w:p>
        </w:tc>
        <w:tc>
          <w:tcPr>
            <w:tcW w:w="668" w:type="dxa"/>
          </w:tcPr>
          <w:p w14:paraId="5B5519B8"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w:t>
            </w:r>
          </w:p>
        </w:tc>
        <w:tc>
          <w:tcPr>
            <w:tcW w:w="817" w:type="dxa"/>
          </w:tcPr>
          <w:p w14:paraId="6AC88A13"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10"/>
                <w:sz w:val="20"/>
                <w:szCs w:val="20"/>
              </w:rPr>
              <w:t>-34.269</w:t>
            </w:r>
          </w:p>
        </w:tc>
        <w:tc>
          <w:tcPr>
            <w:tcW w:w="742" w:type="dxa"/>
          </w:tcPr>
          <w:p w14:paraId="2A65D9C3"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10"/>
                <w:sz w:val="20"/>
                <w:szCs w:val="20"/>
              </w:rPr>
              <w:t>0.01</w:t>
            </w:r>
          </w:p>
        </w:tc>
        <w:tc>
          <w:tcPr>
            <w:tcW w:w="742" w:type="dxa"/>
          </w:tcPr>
          <w:p w14:paraId="205FE62F" w14:textId="77777777" w:rsidR="00191ABF" w:rsidRPr="0050243A" w:rsidRDefault="00191ABF" w:rsidP="008546EF">
            <w:pPr>
              <w:pStyle w:val="TableParagraph"/>
              <w:ind w:right="78"/>
              <w:rPr>
                <w:color w:val="000000" w:themeColor="text1"/>
                <w:spacing w:val="-10"/>
                <w:sz w:val="20"/>
                <w:szCs w:val="20"/>
              </w:rPr>
            </w:pPr>
            <w:r w:rsidRPr="0050243A">
              <w:rPr>
                <w:color w:val="000000" w:themeColor="text1"/>
                <w:spacing w:val="-10"/>
                <w:sz w:val="20"/>
                <w:szCs w:val="20"/>
              </w:rPr>
              <w:t>-</w:t>
            </w:r>
          </w:p>
        </w:tc>
        <w:tc>
          <w:tcPr>
            <w:tcW w:w="742" w:type="dxa"/>
          </w:tcPr>
          <w:p w14:paraId="1A0E5279" w14:textId="77777777" w:rsidR="00191ABF" w:rsidRPr="0050243A" w:rsidRDefault="00191ABF" w:rsidP="008546EF">
            <w:pPr>
              <w:pStyle w:val="TableParagraph"/>
              <w:ind w:right="78"/>
              <w:rPr>
                <w:color w:val="000000" w:themeColor="text1"/>
                <w:spacing w:val="-10"/>
                <w:sz w:val="20"/>
                <w:szCs w:val="20"/>
              </w:rPr>
            </w:pPr>
            <w:r w:rsidRPr="0050243A">
              <w:rPr>
                <w:color w:val="000000" w:themeColor="text1"/>
                <w:spacing w:val="-10"/>
                <w:sz w:val="20"/>
                <w:szCs w:val="20"/>
              </w:rPr>
              <w:t>-</w:t>
            </w:r>
          </w:p>
        </w:tc>
      </w:tr>
      <w:tr w:rsidR="00191ABF" w:rsidRPr="0050243A" w14:paraId="706E1CE2" w14:textId="77777777" w:rsidTr="008546EF">
        <w:trPr>
          <w:trHeight w:val="256"/>
        </w:trPr>
        <w:tc>
          <w:tcPr>
            <w:tcW w:w="1335" w:type="dxa"/>
          </w:tcPr>
          <w:p w14:paraId="3F806DF2" w14:textId="77777777" w:rsidR="00191ABF" w:rsidRPr="0050243A" w:rsidRDefault="00191ABF" w:rsidP="008546EF">
            <w:pPr>
              <w:pStyle w:val="TableParagraph"/>
              <w:ind w:right="78"/>
              <w:rPr>
                <w:color w:val="000000" w:themeColor="text1"/>
                <w:sz w:val="20"/>
                <w:szCs w:val="20"/>
              </w:rPr>
            </w:pPr>
            <w:proofErr w:type="spellStart"/>
            <w:r w:rsidRPr="0050243A">
              <w:rPr>
                <w:color w:val="000000" w:themeColor="text1"/>
                <w:spacing w:val="-2"/>
                <w:sz w:val="20"/>
                <w:szCs w:val="20"/>
              </w:rPr>
              <w:t>Corruption_C</w:t>
            </w:r>
            <w:proofErr w:type="spellEnd"/>
          </w:p>
        </w:tc>
        <w:tc>
          <w:tcPr>
            <w:tcW w:w="732" w:type="dxa"/>
          </w:tcPr>
          <w:p w14:paraId="3D06A260"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-1.909</w:t>
            </w:r>
          </w:p>
        </w:tc>
        <w:tc>
          <w:tcPr>
            <w:tcW w:w="668" w:type="dxa"/>
          </w:tcPr>
          <w:p w14:paraId="428FFEF6"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0.6072</w:t>
            </w:r>
          </w:p>
        </w:tc>
        <w:tc>
          <w:tcPr>
            <w:tcW w:w="742" w:type="dxa"/>
          </w:tcPr>
          <w:p w14:paraId="29350526"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-3.8398</w:t>
            </w:r>
          </w:p>
        </w:tc>
        <w:tc>
          <w:tcPr>
            <w:tcW w:w="668" w:type="dxa"/>
          </w:tcPr>
          <w:p w14:paraId="72135E37"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0.0328</w:t>
            </w:r>
          </w:p>
        </w:tc>
        <w:tc>
          <w:tcPr>
            <w:tcW w:w="817" w:type="dxa"/>
          </w:tcPr>
          <w:p w14:paraId="6C1254E5"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10"/>
                <w:sz w:val="20"/>
                <w:szCs w:val="20"/>
              </w:rPr>
              <w:t>-8.5218</w:t>
            </w:r>
          </w:p>
        </w:tc>
        <w:tc>
          <w:tcPr>
            <w:tcW w:w="742" w:type="dxa"/>
          </w:tcPr>
          <w:p w14:paraId="164FCB35"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10"/>
                <w:sz w:val="20"/>
                <w:szCs w:val="20"/>
              </w:rPr>
              <w:t>0.577</w:t>
            </w:r>
          </w:p>
        </w:tc>
        <w:tc>
          <w:tcPr>
            <w:tcW w:w="742" w:type="dxa"/>
          </w:tcPr>
          <w:p w14:paraId="0E336708" w14:textId="77777777" w:rsidR="00191ABF" w:rsidRPr="0050243A" w:rsidRDefault="00191ABF" w:rsidP="008546EF">
            <w:pPr>
              <w:pStyle w:val="TableParagraph"/>
              <w:ind w:right="78"/>
              <w:rPr>
                <w:color w:val="000000" w:themeColor="text1"/>
                <w:spacing w:val="-10"/>
                <w:sz w:val="20"/>
                <w:szCs w:val="20"/>
              </w:rPr>
            </w:pPr>
            <w:r w:rsidRPr="0050243A">
              <w:rPr>
                <w:color w:val="000000" w:themeColor="text1"/>
                <w:spacing w:val="-10"/>
                <w:sz w:val="20"/>
                <w:szCs w:val="20"/>
              </w:rPr>
              <w:t>-36.04</w:t>
            </w:r>
          </w:p>
        </w:tc>
        <w:tc>
          <w:tcPr>
            <w:tcW w:w="742" w:type="dxa"/>
          </w:tcPr>
          <w:p w14:paraId="650448EA" w14:textId="77777777" w:rsidR="00191ABF" w:rsidRPr="0050243A" w:rsidRDefault="00191ABF" w:rsidP="008546EF">
            <w:pPr>
              <w:pStyle w:val="TableParagraph"/>
              <w:ind w:right="78"/>
              <w:rPr>
                <w:color w:val="000000" w:themeColor="text1"/>
                <w:spacing w:val="-10"/>
                <w:sz w:val="20"/>
                <w:szCs w:val="20"/>
              </w:rPr>
            </w:pPr>
            <w:r w:rsidRPr="0050243A">
              <w:rPr>
                <w:color w:val="000000" w:themeColor="text1"/>
                <w:spacing w:val="-10"/>
                <w:sz w:val="20"/>
                <w:szCs w:val="20"/>
              </w:rPr>
              <w:t>0.01</w:t>
            </w:r>
          </w:p>
        </w:tc>
      </w:tr>
      <w:tr w:rsidR="00191ABF" w:rsidRPr="0050243A" w14:paraId="12D19A50" w14:textId="77777777" w:rsidTr="008546EF">
        <w:trPr>
          <w:trHeight w:val="256"/>
        </w:trPr>
        <w:tc>
          <w:tcPr>
            <w:tcW w:w="1335" w:type="dxa"/>
          </w:tcPr>
          <w:p w14:paraId="4B570F2D" w14:textId="77777777" w:rsidR="00191ABF" w:rsidRPr="0050243A" w:rsidRDefault="00191ABF" w:rsidP="008546EF">
            <w:pPr>
              <w:pStyle w:val="TableParagraph"/>
              <w:ind w:right="78"/>
              <w:rPr>
                <w:color w:val="000000" w:themeColor="text1"/>
                <w:sz w:val="20"/>
                <w:szCs w:val="20"/>
              </w:rPr>
            </w:pPr>
            <w:proofErr w:type="spellStart"/>
            <w:r w:rsidRPr="0050243A">
              <w:rPr>
                <w:color w:val="000000" w:themeColor="text1"/>
                <w:spacing w:val="-2"/>
                <w:sz w:val="20"/>
                <w:szCs w:val="20"/>
              </w:rPr>
              <w:t>Govt_effect</w:t>
            </w:r>
            <w:proofErr w:type="spellEnd"/>
          </w:p>
        </w:tc>
        <w:tc>
          <w:tcPr>
            <w:tcW w:w="732" w:type="dxa"/>
          </w:tcPr>
          <w:p w14:paraId="65EDFB99"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-2.4885</w:t>
            </w:r>
          </w:p>
        </w:tc>
        <w:tc>
          <w:tcPr>
            <w:tcW w:w="668" w:type="dxa"/>
          </w:tcPr>
          <w:p w14:paraId="75DA1D02"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0.3856</w:t>
            </w:r>
          </w:p>
        </w:tc>
        <w:tc>
          <w:tcPr>
            <w:tcW w:w="742" w:type="dxa"/>
          </w:tcPr>
          <w:p w14:paraId="4B97BC4E"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-3.7984</w:t>
            </w:r>
          </w:p>
        </w:tc>
        <w:tc>
          <w:tcPr>
            <w:tcW w:w="668" w:type="dxa"/>
          </w:tcPr>
          <w:p w14:paraId="171FC971"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0.0358</w:t>
            </w:r>
          </w:p>
        </w:tc>
        <w:tc>
          <w:tcPr>
            <w:tcW w:w="817" w:type="dxa"/>
          </w:tcPr>
          <w:p w14:paraId="397FA401"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10"/>
                <w:sz w:val="20"/>
                <w:szCs w:val="20"/>
              </w:rPr>
              <w:t>-11.193</w:t>
            </w:r>
          </w:p>
        </w:tc>
        <w:tc>
          <w:tcPr>
            <w:tcW w:w="742" w:type="dxa"/>
          </w:tcPr>
          <w:p w14:paraId="70C39DCA"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10"/>
                <w:sz w:val="20"/>
                <w:szCs w:val="20"/>
              </w:rPr>
              <w:t>0.3994</w:t>
            </w:r>
          </w:p>
        </w:tc>
        <w:tc>
          <w:tcPr>
            <w:tcW w:w="742" w:type="dxa"/>
          </w:tcPr>
          <w:p w14:paraId="1B895003" w14:textId="77777777" w:rsidR="00191ABF" w:rsidRPr="0050243A" w:rsidRDefault="00191ABF" w:rsidP="008546EF">
            <w:pPr>
              <w:pStyle w:val="TableParagraph"/>
              <w:ind w:right="78"/>
              <w:rPr>
                <w:color w:val="000000" w:themeColor="text1"/>
                <w:spacing w:val="-10"/>
                <w:sz w:val="20"/>
                <w:szCs w:val="20"/>
              </w:rPr>
            </w:pPr>
            <w:r w:rsidRPr="0050243A">
              <w:rPr>
                <w:color w:val="000000" w:themeColor="text1"/>
                <w:spacing w:val="-10"/>
                <w:sz w:val="20"/>
                <w:szCs w:val="20"/>
              </w:rPr>
              <w:t>-32.564</w:t>
            </w:r>
          </w:p>
        </w:tc>
        <w:tc>
          <w:tcPr>
            <w:tcW w:w="742" w:type="dxa"/>
          </w:tcPr>
          <w:p w14:paraId="7DCF3FDA" w14:textId="77777777" w:rsidR="00191ABF" w:rsidRPr="0050243A" w:rsidRDefault="00191ABF" w:rsidP="008546EF">
            <w:pPr>
              <w:pStyle w:val="TableParagraph"/>
              <w:ind w:right="78"/>
              <w:rPr>
                <w:color w:val="000000" w:themeColor="text1"/>
                <w:spacing w:val="-10"/>
                <w:sz w:val="20"/>
                <w:szCs w:val="20"/>
              </w:rPr>
            </w:pPr>
            <w:r w:rsidRPr="0050243A">
              <w:rPr>
                <w:color w:val="000000" w:themeColor="text1"/>
                <w:spacing w:val="-10"/>
                <w:sz w:val="20"/>
                <w:szCs w:val="20"/>
              </w:rPr>
              <w:t>0.01</w:t>
            </w:r>
          </w:p>
        </w:tc>
      </w:tr>
      <w:tr w:rsidR="00191ABF" w:rsidRPr="0050243A" w14:paraId="0A7193DA" w14:textId="77777777" w:rsidTr="008546EF">
        <w:trPr>
          <w:trHeight w:val="258"/>
        </w:trPr>
        <w:tc>
          <w:tcPr>
            <w:tcW w:w="1335" w:type="dxa"/>
          </w:tcPr>
          <w:p w14:paraId="0E19BC51"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Overseas</w:t>
            </w:r>
          </w:p>
        </w:tc>
        <w:tc>
          <w:tcPr>
            <w:tcW w:w="732" w:type="dxa"/>
          </w:tcPr>
          <w:p w14:paraId="0C5A2D52"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-2.6511</w:t>
            </w:r>
          </w:p>
        </w:tc>
        <w:tc>
          <w:tcPr>
            <w:tcW w:w="668" w:type="dxa"/>
          </w:tcPr>
          <w:p w14:paraId="7A89579C"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0.3235</w:t>
            </w:r>
          </w:p>
        </w:tc>
        <w:tc>
          <w:tcPr>
            <w:tcW w:w="742" w:type="dxa"/>
          </w:tcPr>
          <w:p w14:paraId="01F2FE0D"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-4.8038</w:t>
            </w:r>
          </w:p>
        </w:tc>
        <w:tc>
          <w:tcPr>
            <w:tcW w:w="668" w:type="dxa"/>
          </w:tcPr>
          <w:p w14:paraId="6208EE4B"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4"/>
                <w:sz w:val="20"/>
                <w:szCs w:val="20"/>
              </w:rPr>
              <w:t>0.01</w:t>
            </w:r>
          </w:p>
        </w:tc>
        <w:tc>
          <w:tcPr>
            <w:tcW w:w="817" w:type="dxa"/>
          </w:tcPr>
          <w:p w14:paraId="0BAAAE95"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10"/>
                <w:sz w:val="20"/>
                <w:szCs w:val="20"/>
              </w:rPr>
              <w:t>-15.775</w:t>
            </w:r>
          </w:p>
        </w:tc>
        <w:tc>
          <w:tcPr>
            <w:tcW w:w="742" w:type="dxa"/>
          </w:tcPr>
          <w:p w14:paraId="2DF853DC"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10"/>
                <w:sz w:val="20"/>
                <w:szCs w:val="20"/>
              </w:rPr>
              <w:t>0.0983</w:t>
            </w:r>
          </w:p>
        </w:tc>
        <w:tc>
          <w:tcPr>
            <w:tcW w:w="742" w:type="dxa"/>
          </w:tcPr>
          <w:p w14:paraId="2AB5EE93" w14:textId="77777777" w:rsidR="00191ABF" w:rsidRPr="0050243A" w:rsidRDefault="00191ABF" w:rsidP="008546EF">
            <w:pPr>
              <w:pStyle w:val="TableParagraph"/>
              <w:ind w:right="78"/>
              <w:rPr>
                <w:color w:val="000000" w:themeColor="text1"/>
                <w:spacing w:val="-10"/>
                <w:sz w:val="20"/>
                <w:szCs w:val="20"/>
              </w:rPr>
            </w:pPr>
            <w:r w:rsidRPr="0050243A">
              <w:rPr>
                <w:color w:val="000000" w:themeColor="text1"/>
                <w:spacing w:val="-10"/>
                <w:sz w:val="20"/>
                <w:szCs w:val="20"/>
              </w:rPr>
              <w:t>-21.201</w:t>
            </w:r>
          </w:p>
        </w:tc>
        <w:tc>
          <w:tcPr>
            <w:tcW w:w="742" w:type="dxa"/>
          </w:tcPr>
          <w:p w14:paraId="208E341A" w14:textId="77777777" w:rsidR="00191ABF" w:rsidRPr="0050243A" w:rsidRDefault="00191ABF" w:rsidP="008546EF">
            <w:pPr>
              <w:pStyle w:val="TableParagraph"/>
              <w:ind w:right="78"/>
              <w:rPr>
                <w:color w:val="000000" w:themeColor="text1"/>
                <w:spacing w:val="-10"/>
                <w:sz w:val="20"/>
                <w:szCs w:val="20"/>
              </w:rPr>
            </w:pPr>
            <w:r w:rsidRPr="0050243A">
              <w:rPr>
                <w:color w:val="000000" w:themeColor="text1"/>
                <w:spacing w:val="-10"/>
                <w:sz w:val="20"/>
                <w:szCs w:val="20"/>
              </w:rPr>
              <w:t>0.0181</w:t>
            </w:r>
          </w:p>
        </w:tc>
      </w:tr>
    </w:tbl>
    <w:p w14:paraId="4241D3D5" w14:textId="77777777" w:rsidR="00191ABF" w:rsidRPr="0050243A" w:rsidRDefault="00191ABF" w:rsidP="008546EF">
      <w:pPr>
        <w:ind w:right="78"/>
        <w:jc w:val="center"/>
        <w:rPr>
          <w:color w:val="000000" w:themeColor="text1"/>
          <w:sz w:val="20"/>
          <w:szCs w:val="20"/>
        </w:rPr>
      </w:pPr>
    </w:p>
    <w:p w14:paraId="726870B6" w14:textId="77777777" w:rsidR="00191ABF" w:rsidRPr="0050243A" w:rsidRDefault="00191ABF" w:rsidP="008546EF">
      <w:pPr>
        <w:pStyle w:val="BodyText"/>
        <w:spacing w:after="0" w:line="324" w:lineRule="auto"/>
        <w:ind w:right="79"/>
        <w:jc w:val="both"/>
        <w:rPr>
          <w:color w:val="000000" w:themeColor="text1"/>
          <w:sz w:val="20"/>
          <w:szCs w:val="20"/>
        </w:rPr>
      </w:pPr>
      <w:r w:rsidRPr="0050243A">
        <w:rPr>
          <w:color w:val="000000" w:themeColor="text1"/>
          <w:sz w:val="20"/>
          <w:szCs w:val="20"/>
        </w:rPr>
        <w:t xml:space="preserve">This confirms the suitability of the TVAR model for analyzing the potential nonlinear and regime-dependent relationships among the variables. To determine the integration order of each variable, we conducted both the Augmented Dickey-Fuller (ADF) and Phillips-Perron (PP) unit root tests. The findings, presented in Table 2, reveal that variables such as </w:t>
      </w:r>
      <w:r w:rsidRPr="0050243A">
        <w:rPr>
          <w:rStyle w:val="Emphasis"/>
          <w:i w:val="0"/>
          <w:iCs w:val="0"/>
          <w:color w:val="000000" w:themeColor="text1"/>
          <w:sz w:val="20"/>
          <w:szCs w:val="20"/>
        </w:rPr>
        <w:lastRenderedPageBreak/>
        <w:t>Remittances</w:t>
      </w:r>
      <w:r w:rsidRPr="0050243A">
        <w:rPr>
          <w:i/>
          <w:iCs/>
          <w:color w:val="000000" w:themeColor="text1"/>
          <w:sz w:val="20"/>
          <w:szCs w:val="20"/>
        </w:rPr>
        <w:t xml:space="preserve">, </w:t>
      </w:r>
      <w:r w:rsidRPr="0050243A">
        <w:rPr>
          <w:rStyle w:val="Emphasis"/>
          <w:i w:val="0"/>
          <w:iCs w:val="0"/>
          <w:color w:val="000000" w:themeColor="text1"/>
          <w:sz w:val="20"/>
          <w:szCs w:val="20"/>
        </w:rPr>
        <w:t>GDP_PC</w:t>
      </w:r>
      <w:r w:rsidRPr="0050243A">
        <w:rPr>
          <w:i/>
          <w:iCs/>
          <w:color w:val="000000" w:themeColor="text1"/>
          <w:sz w:val="20"/>
          <w:szCs w:val="20"/>
        </w:rPr>
        <w:t xml:space="preserve">, </w:t>
      </w:r>
      <w:r w:rsidRPr="0050243A">
        <w:rPr>
          <w:rStyle w:val="Emphasis"/>
          <w:i w:val="0"/>
          <w:iCs w:val="0"/>
          <w:color w:val="000000" w:themeColor="text1"/>
          <w:sz w:val="20"/>
          <w:szCs w:val="20"/>
        </w:rPr>
        <w:t>Exchange</w:t>
      </w:r>
      <w:r w:rsidRPr="0050243A">
        <w:rPr>
          <w:i/>
          <w:iCs/>
          <w:color w:val="000000" w:themeColor="text1"/>
          <w:sz w:val="20"/>
          <w:szCs w:val="20"/>
        </w:rPr>
        <w:t xml:space="preserve">, </w:t>
      </w:r>
      <w:proofErr w:type="spellStart"/>
      <w:r w:rsidRPr="0050243A">
        <w:rPr>
          <w:rStyle w:val="Emphasis"/>
          <w:i w:val="0"/>
          <w:iCs w:val="0"/>
          <w:color w:val="000000" w:themeColor="text1"/>
          <w:sz w:val="20"/>
          <w:szCs w:val="20"/>
        </w:rPr>
        <w:t>Lending_IR</w:t>
      </w:r>
      <w:proofErr w:type="spellEnd"/>
      <w:r w:rsidRPr="0050243A">
        <w:rPr>
          <w:i/>
          <w:iCs/>
          <w:color w:val="000000" w:themeColor="text1"/>
          <w:sz w:val="20"/>
          <w:szCs w:val="20"/>
        </w:rPr>
        <w:t xml:space="preserve">, </w:t>
      </w:r>
      <w:proofErr w:type="spellStart"/>
      <w:r w:rsidRPr="0050243A">
        <w:rPr>
          <w:rStyle w:val="Emphasis"/>
          <w:i w:val="0"/>
          <w:iCs w:val="0"/>
          <w:color w:val="000000" w:themeColor="text1"/>
          <w:sz w:val="20"/>
          <w:szCs w:val="20"/>
        </w:rPr>
        <w:t>Corruption_C</w:t>
      </w:r>
      <w:proofErr w:type="spellEnd"/>
      <w:r w:rsidRPr="0050243A">
        <w:rPr>
          <w:i/>
          <w:iCs/>
          <w:color w:val="000000" w:themeColor="text1"/>
          <w:sz w:val="20"/>
          <w:szCs w:val="20"/>
        </w:rPr>
        <w:t xml:space="preserve">, </w:t>
      </w:r>
      <w:proofErr w:type="spellStart"/>
      <w:r w:rsidRPr="0050243A">
        <w:rPr>
          <w:rStyle w:val="Emphasis"/>
          <w:i w:val="0"/>
          <w:iCs w:val="0"/>
          <w:color w:val="000000" w:themeColor="text1"/>
          <w:sz w:val="20"/>
          <w:szCs w:val="20"/>
        </w:rPr>
        <w:t>Govt_effect</w:t>
      </w:r>
      <w:proofErr w:type="spellEnd"/>
      <w:r w:rsidRPr="0050243A">
        <w:rPr>
          <w:i/>
          <w:iCs/>
          <w:color w:val="000000" w:themeColor="text1"/>
          <w:sz w:val="20"/>
          <w:szCs w:val="20"/>
        </w:rPr>
        <w:t xml:space="preserve">, </w:t>
      </w:r>
      <w:r w:rsidRPr="0050243A">
        <w:rPr>
          <w:color w:val="000000" w:themeColor="text1"/>
          <w:sz w:val="20"/>
          <w:szCs w:val="20"/>
        </w:rPr>
        <w:t>and</w:t>
      </w:r>
      <w:r w:rsidRPr="0050243A">
        <w:rPr>
          <w:i/>
          <w:iCs/>
          <w:color w:val="000000" w:themeColor="text1"/>
          <w:sz w:val="20"/>
          <w:szCs w:val="20"/>
        </w:rPr>
        <w:t xml:space="preserve"> </w:t>
      </w:r>
      <w:r w:rsidRPr="0050243A">
        <w:rPr>
          <w:rStyle w:val="Emphasis"/>
          <w:i w:val="0"/>
          <w:iCs w:val="0"/>
          <w:color w:val="000000" w:themeColor="text1"/>
          <w:sz w:val="20"/>
          <w:szCs w:val="20"/>
        </w:rPr>
        <w:t>overseas</w:t>
      </w:r>
      <w:r w:rsidRPr="0050243A">
        <w:rPr>
          <w:i/>
          <w:iCs/>
          <w:color w:val="000000" w:themeColor="text1"/>
          <w:sz w:val="20"/>
          <w:szCs w:val="20"/>
        </w:rPr>
        <w:t xml:space="preserve"> </w:t>
      </w:r>
      <w:r w:rsidRPr="0050243A">
        <w:rPr>
          <w:color w:val="000000" w:themeColor="text1"/>
          <w:sz w:val="20"/>
          <w:szCs w:val="20"/>
        </w:rPr>
        <w:t xml:space="preserve">are non-stationary in levels (I (0)) but become stationary after first differencing, indicating they are integrated of order one, I (1). In contrast, variables like </w:t>
      </w:r>
      <w:proofErr w:type="spellStart"/>
      <w:r w:rsidRPr="0050243A">
        <w:rPr>
          <w:rStyle w:val="Emphasis"/>
          <w:i w:val="0"/>
          <w:iCs w:val="0"/>
          <w:color w:val="000000" w:themeColor="text1"/>
          <w:sz w:val="20"/>
          <w:szCs w:val="20"/>
        </w:rPr>
        <w:t>Unem_R</w:t>
      </w:r>
      <w:proofErr w:type="spellEnd"/>
      <w:r w:rsidRPr="0050243A">
        <w:rPr>
          <w:i/>
          <w:iCs/>
          <w:color w:val="000000" w:themeColor="text1"/>
          <w:sz w:val="20"/>
          <w:szCs w:val="20"/>
        </w:rPr>
        <w:t xml:space="preserve">, </w:t>
      </w:r>
      <w:r w:rsidRPr="0050243A">
        <w:rPr>
          <w:rStyle w:val="Emphasis"/>
          <w:i w:val="0"/>
          <w:iCs w:val="0"/>
          <w:color w:val="000000" w:themeColor="text1"/>
          <w:sz w:val="20"/>
          <w:szCs w:val="20"/>
        </w:rPr>
        <w:t>Inflation</w:t>
      </w:r>
      <w:r w:rsidRPr="0050243A">
        <w:rPr>
          <w:i/>
          <w:iCs/>
          <w:color w:val="000000" w:themeColor="text1"/>
          <w:sz w:val="20"/>
          <w:szCs w:val="20"/>
        </w:rPr>
        <w:t xml:space="preserve">, </w:t>
      </w:r>
      <w:proofErr w:type="spellStart"/>
      <w:r w:rsidRPr="0050243A">
        <w:rPr>
          <w:rStyle w:val="Emphasis"/>
          <w:i w:val="0"/>
          <w:iCs w:val="0"/>
          <w:color w:val="000000" w:themeColor="text1"/>
          <w:sz w:val="20"/>
          <w:szCs w:val="20"/>
        </w:rPr>
        <w:t>Interest_RS</w:t>
      </w:r>
      <w:proofErr w:type="spellEnd"/>
      <w:r w:rsidRPr="0050243A">
        <w:rPr>
          <w:color w:val="000000" w:themeColor="text1"/>
          <w:sz w:val="20"/>
          <w:szCs w:val="20"/>
        </w:rPr>
        <w:t>, and</w:t>
      </w:r>
      <w:r w:rsidRPr="0050243A">
        <w:rPr>
          <w:i/>
          <w:iCs/>
          <w:color w:val="000000" w:themeColor="text1"/>
          <w:sz w:val="20"/>
          <w:szCs w:val="20"/>
        </w:rPr>
        <w:t xml:space="preserve"> </w:t>
      </w:r>
      <w:proofErr w:type="spellStart"/>
      <w:r w:rsidRPr="0050243A">
        <w:rPr>
          <w:rStyle w:val="Emphasis"/>
          <w:i w:val="0"/>
          <w:iCs w:val="0"/>
          <w:color w:val="000000" w:themeColor="text1"/>
          <w:sz w:val="20"/>
          <w:szCs w:val="20"/>
        </w:rPr>
        <w:t>Political_SAV</w:t>
      </w:r>
      <w:proofErr w:type="spellEnd"/>
      <w:r w:rsidRPr="0050243A">
        <w:rPr>
          <w:color w:val="000000" w:themeColor="text1"/>
          <w:sz w:val="20"/>
          <w:szCs w:val="20"/>
        </w:rPr>
        <w:t xml:space="preserve"> exhibit stationarity at level, and are thus classified as </w:t>
      </w:r>
      <w:proofErr w:type="gramStart"/>
      <w:r w:rsidRPr="0050243A">
        <w:rPr>
          <w:color w:val="000000" w:themeColor="text1"/>
          <w:sz w:val="20"/>
          <w:szCs w:val="20"/>
        </w:rPr>
        <w:t>I(</w:t>
      </w:r>
      <w:proofErr w:type="gramEnd"/>
      <w:r w:rsidRPr="0050243A">
        <w:rPr>
          <w:color w:val="000000" w:themeColor="text1"/>
          <w:sz w:val="20"/>
          <w:szCs w:val="20"/>
        </w:rPr>
        <w:t>0).</w:t>
      </w:r>
    </w:p>
    <w:p w14:paraId="2BB8EA42" w14:textId="77777777" w:rsidR="00191ABF" w:rsidRPr="0050243A" w:rsidRDefault="00191ABF" w:rsidP="008546EF">
      <w:pPr>
        <w:ind w:right="78"/>
        <w:rPr>
          <w:color w:val="000000" w:themeColor="text1"/>
          <w:sz w:val="20"/>
          <w:szCs w:val="20"/>
        </w:rPr>
      </w:pPr>
    </w:p>
    <w:p w14:paraId="6FFFAE6E" w14:textId="77777777" w:rsidR="00191ABF" w:rsidRDefault="00191ABF" w:rsidP="008546EF">
      <w:pPr>
        <w:ind w:right="78"/>
        <w:rPr>
          <w:b/>
          <w:bCs/>
          <w:color w:val="000000" w:themeColor="text1"/>
          <w:sz w:val="20"/>
          <w:szCs w:val="20"/>
        </w:rPr>
      </w:pPr>
      <w:r w:rsidRPr="0050243A">
        <w:rPr>
          <w:b/>
          <w:bCs/>
          <w:color w:val="000000" w:themeColor="text1"/>
          <w:sz w:val="20"/>
          <w:szCs w:val="20"/>
        </w:rPr>
        <w:t>Optimal Lag Selection</w:t>
      </w:r>
    </w:p>
    <w:p w14:paraId="67CBEA6D" w14:textId="77777777" w:rsidR="008546EF" w:rsidRPr="0050243A" w:rsidRDefault="008546EF" w:rsidP="008546EF">
      <w:pPr>
        <w:ind w:right="78"/>
        <w:rPr>
          <w:b/>
          <w:bCs/>
          <w:color w:val="000000" w:themeColor="text1"/>
          <w:sz w:val="20"/>
          <w:szCs w:val="20"/>
        </w:rPr>
      </w:pPr>
    </w:p>
    <w:p w14:paraId="3ED3A49A" w14:textId="77777777" w:rsidR="00191ABF" w:rsidRDefault="00191ABF" w:rsidP="008546EF">
      <w:pPr>
        <w:pStyle w:val="BodyText"/>
        <w:spacing w:after="0" w:line="324" w:lineRule="auto"/>
        <w:ind w:right="79"/>
        <w:jc w:val="both"/>
        <w:rPr>
          <w:color w:val="000000" w:themeColor="text1"/>
          <w:sz w:val="20"/>
          <w:szCs w:val="20"/>
        </w:rPr>
      </w:pPr>
      <w:r w:rsidRPr="0050243A">
        <w:rPr>
          <w:color w:val="000000" w:themeColor="text1"/>
          <w:sz w:val="20"/>
          <w:szCs w:val="20"/>
        </w:rPr>
        <w:t xml:space="preserve">Table 3 presents the optimal lag selection criteria for the TVAR model, assessed using four established statistical measures: Final Prediction Error (FPE), Akaike Information Criterion (AIC), Schwarz Criterion (SC), and Hannan–Quinn Criterion (HQ). Among all evaluated lag lengths, (lag=1) yields the lowest values across all criteria (FPE=7.1689, AIC=10.4544, SC =10.6721, and HQ=10.3662), indicating its superiority in balancing model fit and complexity. </w:t>
      </w:r>
    </w:p>
    <w:p w14:paraId="563795D0" w14:textId="77777777" w:rsidR="008546EF" w:rsidRPr="0050243A" w:rsidRDefault="008546EF" w:rsidP="008546EF">
      <w:pPr>
        <w:pStyle w:val="BodyText"/>
        <w:spacing w:after="0"/>
        <w:ind w:right="78"/>
        <w:jc w:val="both"/>
        <w:rPr>
          <w:color w:val="000000" w:themeColor="text1"/>
          <w:sz w:val="20"/>
          <w:szCs w:val="20"/>
        </w:rPr>
      </w:pPr>
    </w:p>
    <w:p w14:paraId="585E7E7D" w14:textId="6896EDEC" w:rsidR="00191ABF" w:rsidRDefault="00191ABF" w:rsidP="008546EF">
      <w:pPr>
        <w:pStyle w:val="BodyText"/>
        <w:spacing w:after="0"/>
        <w:ind w:right="78"/>
        <w:jc w:val="both"/>
        <w:rPr>
          <w:color w:val="000000" w:themeColor="text1"/>
          <w:sz w:val="20"/>
          <w:szCs w:val="20"/>
        </w:rPr>
      </w:pPr>
      <w:r w:rsidRPr="0050243A">
        <w:rPr>
          <w:b/>
          <w:bCs/>
          <w:color w:val="000000" w:themeColor="text1"/>
          <w:spacing w:val="-2"/>
          <w:sz w:val="20"/>
          <w:szCs w:val="20"/>
        </w:rPr>
        <w:t>Table 3</w:t>
      </w:r>
      <w:r w:rsidR="008546EF">
        <w:rPr>
          <w:b/>
          <w:bCs/>
          <w:color w:val="000000" w:themeColor="text1"/>
          <w:spacing w:val="-2"/>
          <w:sz w:val="20"/>
          <w:szCs w:val="20"/>
        </w:rPr>
        <w:t>.</w:t>
      </w:r>
      <w:r w:rsidRPr="0050243A">
        <w:rPr>
          <w:color w:val="000000" w:themeColor="text1"/>
          <w:spacing w:val="-2"/>
          <w:sz w:val="20"/>
          <w:szCs w:val="20"/>
        </w:rPr>
        <w:t xml:space="preserve"> </w:t>
      </w:r>
      <w:r w:rsidRPr="0050243A">
        <w:rPr>
          <w:color w:val="000000" w:themeColor="text1"/>
          <w:sz w:val="20"/>
          <w:szCs w:val="20"/>
        </w:rPr>
        <w:t>Optimal Lag Selection Criteria for TVAR Model Based on FPE, AIC, SC, and HQ</w:t>
      </w:r>
    </w:p>
    <w:p w14:paraId="7009283F" w14:textId="77777777" w:rsidR="008546EF" w:rsidRPr="0050243A" w:rsidRDefault="008546EF" w:rsidP="008546EF">
      <w:pPr>
        <w:pStyle w:val="BodyText"/>
        <w:spacing w:after="0"/>
        <w:ind w:right="78"/>
        <w:jc w:val="both"/>
        <w:rPr>
          <w:color w:val="000000" w:themeColor="text1"/>
          <w:spacing w:val="-2"/>
          <w:sz w:val="20"/>
          <w:szCs w:val="20"/>
        </w:rPr>
      </w:pPr>
    </w:p>
    <w:tbl>
      <w:tblPr>
        <w:tblStyle w:val="PlainTable1"/>
        <w:tblW w:w="4797" w:type="pct"/>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57"/>
        <w:gridCol w:w="1601"/>
        <w:gridCol w:w="1756"/>
        <w:gridCol w:w="1756"/>
        <w:gridCol w:w="1756"/>
      </w:tblGrid>
      <w:tr w:rsidR="00191ABF" w:rsidRPr="0050243A" w14:paraId="085CFE15" w14:textId="77777777" w:rsidTr="008546EF">
        <w:trPr>
          <w:cnfStyle w:val="100000000000" w:firstRow="1" w:lastRow="0" w:firstColumn="0" w:lastColumn="0" w:oddVBand="0" w:evenVBand="0" w:oddHBand="0"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497" w:type="pct"/>
            <w:vAlign w:val="center"/>
          </w:tcPr>
          <w:p w14:paraId="3C275362" w14:textId="77777777" w:rsidR="00191ABF" w:rsidRPr="0050243A" w:rsidRDefault="00191ABF" w:rsidP="008546EF">
            <w:pPr>
              <w:ind w:right="78"/>
              <w:jc w:val="center"/>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Lag</w:t>
            </w:r>
          </w:p>
        </w:tc>
        <w:tc>
          <w:tcPr>
            <w:tcW w:w="1050" w:type="pct"/>
            <w:vAlign w:val="center"/>
          </w:tcPr>
          <w:p w14:paraId="4BB6A580" w14:textId="77777777" w:rsidR="00191ABF" w:rsidRPr="0050243A" w:rsidRDefault="00191ABF" w:rsidP="008546EF">
            <w:pPr>
              <w:ind w:right="7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FPE</w:t>
            </w:r>
          </w:p>
        </w:tc>
        <w:tc>
          <w:tcPr>
            <w:tcW w:w="1151" w:type="pct"/>
            <w:vAlign w:val="center"/>
          </w:tcPr>
          <w:p w14:paraId="38F8039B" w14:textId="77777777" w:rsidR="00191ABF" w:rsidRPr="0050243A" w:rsidRDefault="00191ABF" w:rsidP="008546EF">
            <w:pPr>
              <w:ind w:right="7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AIC</w:t>
            </w:r>
          </w:p>
        </w:tc>
        <w:tc>
          <w:tcPr>
            <w:tcW w:w="1151" w:type="pct"/>
            <w:vAlign w:val="center"/>
          </w:tcPr>
          <w:p w14:paraId="1DAF1E90" w14:textId="77777777" w:rsidR="00191ABF" w:rsidRPr="0050243A" w:rsidRDefault="00191ABF" w:rsidP="008546EF">
            <w:pPr>
              <w:ind w:right="7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SC</w:t>
            </w:r>
          </w:p>
        </w:tc>
        <w:tc>
          <w:tcPr>
            <w:tcW w:w="1151" w:type="pct"/>
            <w:vAlign w:val="center"/>
          </w:tcPr>
          <w:p w14:paraId="62343834" w14:textId="77777777" w:rsidR="00191ABF" w:rsidRPr="0050243A" w:rsidRDefault="00191ABF" w:rsidP="008546EF">
            <w:pPr>
              <w:ind w:right="7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HQ</w:t>
            </w:r>
          </w:p>
        </w:tc>
      </w:tr>
      <w:tr w:rsidR="00191ABF" w:rsidRPr="0050243A" w14:paraId="062E393C" w14:textId="77777777" w:rsidTr="008546EF">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497" w:type="pct"/>
            <w:vAlign w:val="center"/>
          </w:tcPr>
          <w:p w14:paraId="728C2146" w14:textId="77777777" w:rsidR="00191ABF" w:rsidRPr="0050243A" w:rsidRDefault="00191ABF" w:rsidP="008546EF">
            <w:pPr>
              <w:ind w:right="78"/>
              <w:jc w:val="center"/>
              <w:rPr>
                <w:rFonts w:ascii="Times New Roman" w:hAnsi="Times New Roman" w:cs="Times New Roman"/>
                <w:b w:val="0"/>
                <w:bCs w:val="0"/>
                <w:color w:val="000000" w:themeColor="text1"/>
                <w:sz w:val="20"/>
                <w:szCs w:val="20"/>
              </w:rPr>
            </w:pPr>
            <w:r w:rsidRPr="0050243A">
              <w:rPr>
                <w:rFonts w:ascii="Times New Roman" w:hAnsi="Times New Roman" w:cs="Times New Roman"/>
                <w:b w:val="0"/>
                <w:bCs w:val="0"/>
                <w:color w:val="000000" w:themeColor="text1"/>
                <w:sz w:val="20"/>
                <w:szCs w:val="20"/>
              </w:rPr>
              <w:t>0</w:t>
            </w:r>
          </w:p>
        </w:tc>
        <w:tc>
          <w:tcPr>
            <w:tcW w:w="1050" w:type="pct"/>
            <w:vAlign w:val="center"/>
          </w:tcPr>
          <w:p w14:paraId="04E57CBC" w14:textId="77777777" w:rsidR="00191ABF" w:rsidRPr="0050243A" w:rsidRDefault="00191ABF" w:rsidP="008546EF">
            <w:pPr>
              <w:ind w:right="7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9.5462</w:t>
            </w:r>
          </w:p>
        </w:tc>
        <w:tc>
          <w:tcPr>
            <w:tcW w:w="1151" w:type="pct"/>
            <w:vAlign w:val="center"/>
          </w:tcPr>
          <w:p w14:paraId="72EEE6F9" w14:textId="77777777" w:rsidR="00191ABF" w:rsidRPr="0050243A" w:rsidRDefault="00191ABF" w:rsidP="008546EF">
            <w:pPr>
              <w:ind w:right="7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10.7032</w:t>
            </w:r>
          </w:p>
        </w:tc>
        <w:tc>
          <w:tcPr>
            <w:tcW w:w="1151" w:type="pct"/>
            <w:vAlign w:val="center"/>
          </w:tcPr>
          <w:p w14:paraId="521FE4E1" w14:textId="77777777" w:rsidR="00191ABF" w:rsidRPr="0050243A" w:rsidRDefault="00191ABF" w:rsidP="008546EF">
            <w:pPr>
              <w:ind w:right="7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12.5623</w:t>
            </w:r>
          </w:p>
        </w:tc>
        <w:tc>
          <w:tcPr>
            <w:tcW w:w="1151" w:type="pct"/>
            <w:vAlign w:val="center"/>
          </w:tcPr>
          <w:p w14:paraId="2C9C607C" w14:textId="77777777" w:rsidR="00191ABF" w:rsidRPr="0050243A" w:rsidRDefault="00191ABF" w:rsidP="008546EF">
            <w:pPr>
              <w:ind w:right="7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11.5415</w:t>
            </w:r>
          </w:p>
        </w:tc>
      </w:tr>
      <w:tr w:rsidR="00191ABF" w:rsidRPr="0050243A" w14:paraId="53F33FC6" w14:textId="77777777" w:rsidTr="008546EF">
        <w:trPr>
          <w:trHeight w:val="21"/>
        </w:trPr>
        <w:tc>
          <w:tcPr>
            <w:cnfStyle w:val="001000000000" w:firstRow="0" w:lastRow="0" w:firstColumn="1" w:lastColumn="0" w:oddVBand="0" w:evenVBand="0" w:oddHBand="0" w:evenHBand="0" w:firstRowFirstColumn="0" w:firstRowLastColumn="0" w:lastRowFirstColumn="0" w:lastRowLastColumn="0"/>
            <w:tcW w:w="497" w:type="pct"/>
            <w:vAlign w:val="center"/>
          </w:tcPr>
          <w:p w14:paraId="36567183" w14:textId="77777777" w:rsidR="00191ABF" w:rsidRPr="0050243A" w:rsidRDefault="00191ABF" w:rsidP="008546EF">
            <w:pPr>
              <w:ind w:right="78"/>
              <w:jc w:val="center"/>
              <w:rPr>
                <w:rFonts w:ascii="Times New Roman" w:hAnsi="Times New Roman" w:cs="Times New Roman"/>
                <w:b w:val="0"/>
                <w:bCs w:val="0"/>
                <w:color w:val="000000" w:themeColor="text1"/>
                <w:sz w:val="20"/>
                <w:szCs w:val="20"/>
              </w:rPr>
            </w:pPr>
            <w:r w:rsidRPr="0050243A">
              <w:rPr>
                <w:rFonts w:ascii="Times New Roman" w:hAnsi="Times New Roman" w:cs="Times New Roman"/>
                <w:b w:val="0"/>
                <w:bCs w:val="0"/>
                <w:color w:val="000000" w:themeColor="text1"/>
                <w:sz w:val="20"/>
                <w:szCs w:val="20"/>
              </w:rPr>
              <w:t>1</w:t>
            </w:r>
          </w:p>
        </w:tc>
        <w:tc>
          <w:tcPr>
            <w:tcW w:w="1050" w:type="pct"/>
            <w:vAlign w:val="center"/>
          </w:tcPr>
          <w:p w14:paraId="2D4D89B4" w14:textId="77777777" w:rsidR="00191ABF" w:rsidRPr="0050243A" w:rsidRDefault="00191ABF" w:rsidP="008546EF">
            <w:pPr>
              <w:ind w:right="7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7.1689***</w:t>
            </w:r>
          </w:p>
        </w:tc>
        <w:tc>
          <w:tcPr>
            <w:tcW w:w="1151" w:type="pct"/>
            <w:vAlign w:val="center"/>
          </w:tcPr>
          <w:p w14:paraId="12A89370" w14:textId="77777777" w:rsidR="00191ABF" w:rsidRPr="0050243A" w:rsidRDefault="00191ABF" w:rsidP="008546EF">
            <w:pPr>
              <w:ind w:right="7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10.4544***</w:t>
            </w:r>
          </w:p>
        </w:tc>
        <w:tc>
          <w:tcPr>
            <w:tcW w:w="1151" w:type="pct"/>
            <w:vAlign w:val="center"/>
          </w:tcPr>
          <w:p w14:paraId="682CE961" w14:textId="77777777" w:rsidR="00191ABF" w:rsidRPr="0050243A" w:rsidRDefault="00191ABF" w:rsidP="008546EF">
            <w:pPr>
              <w:ind w:right="7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10.6721***</w:t>
            </w:r>
          </w:p>
        </w:tc>
        <w:tc>
          <w:tcPr>
            <w:tcW w:w="1151" w:type="pct"/>
            <w:vAlign w:val="center"/>
          </w:tcPr>
          <w:p w14:paraId="1E022933" w14:textId="77777777" w:rsidR="00191ABF" w:rsidRPr="0050243A" w:rsidRDefault="00191ABF" w:rsidP="008546EF">
            <w:pPr>
              <w:ind w:right="7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10.3662***</w:t>
            </w:r>
          </w:p>
        </w:tc>
      </w:tr>
      <w:tr w:rsidR="00191ABF" w:rsidRPr="0050243A" w14:paraId="47A9930F" w14:textId="77777777" w:rsidTr="008546EF">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497" w:type="pct"/>
            <w:vAlign w:val="center"/>
          </w:tcPr>
          <w:p w14:paraId="35E27C40" w14:textId="77777777" w:rsidR="00191ABF" w:rsidRPr="0050243A" w:rsidRDefault="00191ABF" w:rsidP="008546EF">
            <w:pPr>
              <w:ind w:right="78"/>
              <w:jc w:val="center"/>
              <w:rPr>
                <w:rFonts w:ascii="Times New Roman" w:hAnsi="Times New Roman" w:cs="Times New Roman"/>
                <w:b w:val="0"/>
                <w:bCs w:val="0"/>
                <w:color w:val="000000" w:themeColor="text1"/>
                <w:sz w:val="20"/>
                <w:szCs w:val="20"/>
              </w:rPr>
            </w:pPr>
            <w:r w:rsidRPr="0050243A">
              <w:rPr>
                <w:rFonts w:ascii="Times New Roman" w:hAnsi="Times New Roman" w:cs="Times New Roman"/>
                <w:b w:val="0"/>
                <w:bCs w:val="0"/>
                <w:color w:val="000000" w:themeColor="text1"/>
                <w:sz w:val="20"/>
                <w:szCs w:val="20"/>
              </w:rPr>
              <w:t>2</w:t>
            </w:r>
          </w:p>
        </w:tc>
        <w:tc>
          <w:tcPr>
            <w:tcW w:w="1050" w:type="pct"/>
            <w:vAlign w:val="center"/>
          </w:tcPr>
          <w:p w14:paraId="4CC57D9D" w14:textId="77777777" w:rsidR="00191ABF" w:rsidRPr="0050243A" w:rsidRDefault="00191ABF" w:rsidP="008546EF">
            <w:pPr>
              <w:ind w:right="7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7.7782</w:t>
            </w:r>
          </w:p>
        </w:tc>
        <w:tc>
          <w:tcPr>
            <w:tcW w:w="1151" w:type="pct"/>
            <w:vAlign w:val="center"/>
          </w:tcPr>
          <w:p w14:paraId="4F70CC1F" w14:textId="77777777" w:rsidR="00191ABF" w:rsidRPr="0050243A" w:rsidRDefault="00191ABF" w:rsidP="008546EF">
            <w:pPr>
              <w:ind w:right="7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10.5614</w:t>
            </w:r>
          </w:p>
        </w:tc>
        <w:tc>
          <w:tcPr>
            <w:tcW w:w="1151" w:type="pct"/>
            <w:vAlign w:val="center"/>
          </w:tcPr>
          <w:p w14:paraId="3553A42B" w14:textId="77777777" w:rsidR="00191ABF" w:rsidRPr="0050243A" w:rsidRDefault="00191ABF" w:rsidP="008546EF">
            <w:pPr>
              <w:ind w:right="7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10.9445</w:t>
            </w:r>
          </w:p>
        </w:tc>
        <w:tc>
          <w:tcPr>
            <w:tcW w:w="1151" w:type="pct"/>
            <w:vAlign w:val="center"/>
          </w:tcPr>
          <w:p w14:paraId="64CDD678" w14:textId="77777777" w:rsidR="00191ABF" w:rsidRPr="0050243A" w:rsidRDefault="00191ABF" w:rsidP="008546EF">
            <w:pPr>
              <w:ind w:right="7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10.7187</w:t>
            </w:r>
          </w:p>
        </w:tc>
      </w:tr>
      <w:tr w:rsidR="00191ABF" w:rsidRPr="0050243A" w14:paraId="186FDD51" w14:textId="77777777" w:rsidTr="008546EF">
        <w:trPr>
          <w:trHeight w:val="21"/>
        </w:trPr>
        <w:tc>
          <w:tcPr>
            <w:cnfStyle w:val="001000000000" w:firstRow="0" w:lastRow="0" w:firstColumn="1" w:lastColumn="0" w:oddVBand="0" w:evenVBand="0" w:oddHBand="0" w:evenHBand="0" w:firstRowFirstColumn="0" w:firstRowLastColumn="0" w:lastRowFirstColumn="0" w:lastRowLastColumn="0"/>
            <w:tcW w:w="497" w:type="pct"/>
            <w:vAlign w:val="center"/>
          </w:tcPr>
          <w:p w14:paraId="4F7B7BA4" w14:textId="77777777" w:rsidR="00191ABF" w:rsidRPr="0050243A" w:rsidRDefault="00191ABF" w:rsidP="008546EF">
            <w:pPr>
              <w:ind w:right="78"/>
              <w:jc w:val="center"/>
              <w:rPr>
                <w:rFonts w:ascii="Times New Roman" w:hAnsi="Times New Roman" w:cs="Times New Roman"/>
                <w:b w:val="0"/>
                <w:bCs w:val="0"/>
                <w:color w:val="000000" w:themeColor="text1"/>
                <w:sz w:val="20"/>
                <w:szCs w:val="20"/>
              </w:rPr>
            </w:pPr>
            <w:r w:rsidRPr="0050243A">
              <w:rPr>
                <w:rFonts w:ascii="Times New Roman" w:hAnsi="Times New Roman" w:cs="Times New Roman"/>
                <w:b w:val="0"/>
                <w:bCs w:val="0"/>
                <w:color w:val="000000" w:themeColor="text1"/>
                <w:sz w:val="20"/>
                <w:szCs w:val="20"/>
              </w:rPr>
              <w:t>3</w:t>
            </w:r>
          </w:p>
        </w:tc>
        <w:tc>
          <w:tcPr>
            <w:tcW w:w="1050" w:type="pct"/>
            <w:vAlign w:val="center"/>
          </w:tcPr>
          <w:p w14:paraId="4F433092" w14:textId="77777777" w:rsidR="00191ABF" w:rsidRPr="0050243A" w:rsidRDefault="00191ABF" w:rsidP="008546EF">
            <w:pPr>
              <w:ind w:right="7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8.3784</w:t>
            </w:r>
          </w:p>
        </w:tc>
        <w:tc>
          <w:tcPr>
            <w:tcW w:w="1151" w:type="pct"/>
            <w:vAlign w:val="center"/>
          </w:tcPr>
          <w:p w14:paraId="5FAB43C1" w14:textId="77777777" w:rsidR="00191ABF" w:rsidRPr="0050243A" w:rsidRDefault="00191ABF" w:rsidP="008546EF">
            <w:pPr>
              <w:ind w:right="7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10.5698</w:t>
            </w:r>
          </w:p>
        </w:tc>
        <w:tc>
          <w:tcPr>
            <w:tcW w:w="1151" w:type="pct"/>
            <w:vAlign w:val="center"/>
          </w:tcPr>
          <w:p w14:paraId="48532079" w14:textId="77777777" w:rsidR="00191ABF" w:rsidRPr="0050243A" w:rsidRDefault="00191ABF" w:rsidP="008546EF">
            <w:pPr>
              <w:ind w:right="7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11.1145</w:t>
            </w:r>
          </w:p>
        </w:tc>
        <w:tc>
          <w:tcPr>
            <w:tcW w:w="1151" w:type="pct"/>
            <w:vAlign w:val="center"/>
          </w:tcPr>
          <w:p w14:paraId="3811A83C" w14:textId="77777777" w:rsidR="00191ABF" w:rsidRPr="0050243A" w:rsidRDefault="00191ABF" w:rsidP="008546EF">
            <w:pPr>
              <w:ind w:right="7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10.7908</w:t>
            </w:r>
          </w:p>
        </w:tc>
      </w:tr>
      <w:tr w:rsidR="00191ABF" w:rsidRPr="0050243A" w14:paraId="20A00A61" w14:textId="77777777" w:rsidTr="008546EF">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497" w:type="pct"/>
            <w:vAlign w:val="center"/>
          </w:tcPr>
          <w:p w14:paraId="168A25E6" w14:textId="77777777" w:rsidR="00191ABF" w:rsidRPr="0050243A" w:rsidRDefault="00191ABF" w:rsidP="008546EF">
            <w:pPr>
              <w:ind w:right="78"/>
              <w:jc w:val="center"/>
              <w:rPr>
                <w:rFonts w:ascii="Times New Roman" w:hAnsi="Times New Roman" w:cs="Times New Roman"/>
                <w:b w:val="0"/>
                <w:bCs w:val="0"/>
                <w:color w:val="000000" w:themeColor="text1"/>
                <w:sz w:val="20"/>
                <w:szCs w:val="20"/>
              </w:rPr>
            </w:pPr>
            <w:r w:rsidRPr="0050243A">
              <w:rPr>
                <w:rFonts w:ascii="Times New Roman" w:hAnsi="Times New Roman" w:cs="Times New Roman"/>
                <w:b w:val="0"/>
                <w:bCs w:val="0"/>
                <w:color w:val="000000" w:themeColor="text1"/>
                <w:sz w:val="20"/>
                <w:szCs w:val="20"/>
              </w:rPr>
              <w:t>4</w:t>
            </w:r>
          </w:p>
        </w:tc>
        <w:tc>
          <w:tcPr>
            <w:tcW w:w="1050" w:type="pct"/>
            <w:vAlign w:val="center"/>
          </w:tcPr>
          <w:p w14:paraId="4CDCA83E" w14:textId="77777777" w:rsidR="00191ABF" w:rsidRPr="0050243A" w:rsidRDefault="00191ABF" w:rsidP="008546EF">
            <w:pPr>
              <w:ind w:right="7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8.3749</w:t>
            </w:r>
          </w:p>
        </w:tc>
        <w:tc>
          <w:tcPr>
            <w:tcW w:w="1151" w:type="pct"/>
            <w:vAlign w:val="center"/>
          </w:tcPr>
          <w:p w14:paraId="482F3B7F" w14:textId="77777777" w:rsidR="00191ABF" w:rsidRPr="0050243A" w:rsidRDefault="00191ABF" w:rsidP="008546EF">
            <w:pPr>
              <w:ind w:right="7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10.6383</w:t>
            </w:r>
          </w:p>
        </w:tc>
        <w:tc>
          <w:tcPr>
            <w:tcW w:w="1151" w:type="pct"/>
            <w:vAlign w:val="center"/>
          </w:tcPr>
          <w:p w14:paraId="570A6355" w14:textId="77777777" w:rsidR="00191ABF" w:rsidRPr="0050243A" w:rsidRDefault="00191ABF" w:rsidP="008546EF">
            <w:pPr>
              <w:ind w:right="7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11.3462</w:t>
            </w:r>
          </w:p>
        </w:tc>
        <w:tc>
          <w:tcPr>
            <w:tcW w:w="1151" w:type="pct"/>
            <w:vAlign w:val="center"/>
          </w:tcPr>
          <w:p w14:paraId="449198CF" w14:textId="77777777" w:rsidR="00191ABF" w:rsidRPr="0050243A" w:rsidRDefault="00191ABF" w:rsidP="008546EF">
            <w:pPr>
              <w:ind w:right="7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10.9253</w:t>
            </w:r>
          </w:p>
        </w:tc>
      </w:tr>
      <w:tr w:rsidR="00191ABF" w:rsidRPr="0050243A" w14:paraId="1DAC8E1F" w14:textId="77777777" w:rsidTr="008546EF">
        <w:trPr>
          <w:trHeight w:val="21"/>
        </w:trPr>
        <w:tc>
          <w:tcPr>
            <w:cnfStyle w:val="001000000000" w:firstRow="0" w:lastRow="0" w:firstColumn="1" w:lastColumn="0" w:oddVBand="0" w:evenVBand="0" w:oddHBand="0" w:evenHBand="0" w:firstRowFirstColumn="0" w:firstRowLastColumn="0" w:lastRowFirstColumn="0" w:lastRowLastColumn="0"/>
            <w:tcW w:w="497" w:type="pct"/>
            <w:vAlign w:val="center"/>
          </w:tcPr>
          <w:p w14:paraId="36BAE229" w14:textId="77777777" w:rsidR="00191ABF" w:rsidRPr="0050243A" w:rsidRDefault="00191ABF" w:rsidP="008546EF">
            <w:pPr>
              <w:ind w:right="78"/>
              <w:jc w:val="center"/>
              <w:rPr>
                <w:rFonts w:ascii="Times New Roman" w:hAnsi="Times New Roman" w:cs="Times New Roman"/>
                <w:b w:val="0"/>
                <w:bCs w:val="0"/>
                <w:color w:val="000000" w:themeColor="text1"/>
                <w:sz w:val="20"/>
                <w:szCs w:val="20"/>
              </w:rPr>
            </w:pPr>
            <w:r w:rsidRPr="0050243A">
              <w:rPr>
                <w:rFonts w:ascii="Times New Roman" w:hAnsi="Times New Roman" w:cs="Times New Roman"/>
                <w:b w:val="0"/>
                <w:bCs w:val="0"/>
                <w:color w:val="000000" w:themeColor="text1"/>
                <w:sz w:val="20"/>
                <w:szCs w:val="20"/>
              </w:rPr>
              <w:t>5</w:t>
            </w:r>
          </w:p>
        </w:tc>
        <w:tc>
          <w:tcPr>
            <w:tcW w:w="1050" w:type="pct"/>
            <w:vAlign w:val="center"/>
          </w:tcPr>
          <w:p w14:paraId="3A831E34" w14:textId="77777777" w:rsidR="00191ABF" w:rsidRPr="0050243A" w:rsidRDefault="00191ABF" w:rsidP="008546EF">
            <w:pPr>
              <w:ind w:right="7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8.6972</w:t>
            </w:r>
          </w:p>
        </w:tc>
        <w:tc>
          <w:tcPr>
            <w:tcW w:w="1151" w:type="pct"/>
            <w:vAlign w:val="center"/>
          </w:tcPr>
          <w:p w14:paraId="532A8C87" w14:textId="77777777" w:rsidR="00191ABF" w:rsidRPr="0050243A" w:rsidRDefault="00191ABF" w:rsidP="008546EF">
            <w:pPr>
              <w:ind w:right="7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10.6751</w:t>
            </w:r>
          </w:p>
        </w:tc>
        <w:tc>
          <w:tcPr>
            <w:tcW w:w="1151" w:type="pct"/>
            <w:vAlign w:val="center"/>
          </w:tcPr>
          <w:p w14:paraId="225DF681" w14:textId="77777777" w:rsidR="00191ABF" w:rsidRPr="0050243A" w:rsidRDefault="00191ABF" w:rsidP="008546EF">
            <w:pPr>
              <w:ind w:right="7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11.5466</w:t>
            </w:r>
          </w:p>
        </w:tc>
        <w:tc>
          <w:tcPr>
            <w:tcW w:w="1151" w:type="pct"/>
            <w:vAlign w:val="center"/>
          </w:tcPr>
          <w:p w14:paraId="09C67614" w14:textId="77777777" w:rsidR="00191ABF" w:rsidRPr="0050243A" w:rsidRDefault="00191ABF" w:rsidP="008546EF">
            <w:pPr>
              <w:ind w:right="7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11.0286</w:t>
            </w:r>
          </w:p>
        </w:tc>
      </w:tr>
      <w:tr w:rsidR="00191ABF" w:rsidRPr="0050243A" w14:paraId="14C5A58B" w14:textId="77777777" w:rsidTr="008546EF">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497" w:type="pct"/>
            <w:vAlign w:val="center"/>
          </w:tcPr>
          <w:p w14:paraId="7FD4FF38" w14:textId="77777777" w:rsidR="00191ABF" w:rsidRPr="0050243A" w:rsidRDefault="00191ABF" w:rsidP="008546EF">
            <w:pPr>
              <w:ind w:right="78"/>
              <w:jc w:val="center"/>
              <w:rPr>
                <w:rFonts w:ascii="Times New Roman" w:hAnsi="Times New Roman" w:cs="Times New Roman"/>
                <w:b w:val="0"/>
                <w:bCs w:val="0"/>
                <w:color w:val="000000" w:themeColor="text1"/>
                <w:sz w:val="20"/>
                <w:szCs w:val="20"/>
              </w:rPr>
            </w:pPr>
            <w:r w:rsidRPr="0050243A">
              <w:rPr>
                <w:rFonts w:ascii="Times New Roman" w:hAnsi="Times New Roman" w:cs="Times New Roman"/>
                <w:b w:val="0"/>
                <w:bCs w:val="0"/>
                <w:color w:val="000000" w:themeColor="text1"/>
                <w:sz w:val="20"/>
                <w:szCs w:val="20"/>
              </w:rPr>
              <w:t>6</w:t>
            </w:r>
          </w:p>
        </w:tc>
        <w:tc>
          <w:tcPr>
            <w:tcW w:w="1050" w:type="pct"/>
            <w:vAlign w:val="center"/>
          </w:tcPr>
          <w:p w14:paraId="294FFDE2" w14:textId="77777777" w:rsidR="00191ABF" w:rsidRPr="0050243A" w:rsidRDefault="00191ABF" w:rsidP="008546EF">
            <w:pPr>
              <w:ind w:right="7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8.6839</w:t>
            </w:r>
          </w:p>
        </w:tc>
        <w:tc>
          <w:tcPr>
            <w:tcW w:w="1151" w:type="pct"/>
            <w:vAlign w:val="center"/>
          </w:tcPr>
          <w:p w14:paraId="7CCB885C" w14:textId="77777777" w:rsidR="00191ABF" w:rsidRPr="0050243A" w:rsidRDefault="00191ABF" w:rsidP="008546EF">
            <w:pPr>
              <w:ind w:right="7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10.6699</w:t>
            </w:r>
          </w:p>
        </w:tc>
        <w:tc>
          <w:tcPr>
            <w:tcW w:w="1151" w:type="pct"/>
            <w:vAlign w:val="center"/>
          </w:tcPr>
          <w:p w14:paraId="273B39A5" w14:textId="77777777" w:rsidR="00191ABF" w:rsidRPr="0050243A" w:rsidRDefault="00191ABF" w:rsidP="008546EF">
            <w:pPr>
              <w:ind w:right="7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12.0307</w:t>
            </w:r>
          </w:p>
        </w:tc>
        <w:tc>
          <w:tcPr>
            <w:tcW w:w="1151" w:type="pct"/>
            <w:vAlign w:val="center"/>
          </w:tcPr>
          <w:p w14:paraId="261F2B1C" w14:textId="77777777" w:rsidR="00191ABF" w:rsidRPr="0050243A" w:rsidRDefault="00191ABF" w:rsidP="008546EF">
            <w:pPr>
              <w:ind w:right="7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0243A">
              <w:rPr>
                <w:rFonts w:ascii="Times New Roman" w:hAnsi="Times New Roman" w:cs="Times New Roman"/>
                <w:color w:val="000000" w:themeColor="text1"/>
                <w:sz w:val="20"/>
                <w:szCs w:val="20"/>
              </w:rPr>
              <w:t>11.2214</w:t>
            </w:r>
          </w:p>
        </w:tc>
      </w:tr>
    </w:tbl>
    <w:p w14:paraId="7D6C8D33" w14:textId="77777777" w:rsidR="00191ABF" w:rsidRPr="0050243A" w:rsidRDefault="00191ABF" w:rsidP="008546EF">
      <w:pPr>
        <w:pStyle w:val="BodyText"/>
        <w:spacing w:after="0"/>
        <w:ind w:right="78"/>
        <w:rPr>
          <w:color w:val="000000" w:themeColor="text1"/>
          <w:spacing w:val="-2"/>
          <w:sz w:val="20"/>
          <w:szCs w:val="20"/>
        </w:rPr>
      </w:pPr>
    </w:p>
    <w:p w14:paraId="4871D736" w14:textId="77777777" w:rsidR="00191ABF" w:rsidRPr="0050243A" w:rsidRDefault="00191ABF" w:rsidP="008546EF">
      <w:pPr>
        <w:pStyle w:val="BodyText"/>
        <w:spacing w:after="0" w:line="324" w:lineRule="auto"/>
        <w:ind w:right="79"/>
        <w:jc w:val="both"/>
        <w:rPr>
          <w:color w:val="000000" w:themeColor="text1"/>
          <w:sz w:val="20"/>
          <w:szCs w:val="20"/>
        </w:rPr>
      </w:pPr>
      <w:r w:rsidRPr="0050243A">
        <w:rPr>
          <w:color w:val="000000" w:themeColor="text1"/>
          <w:sz w:val="20"/>
          <w:szCs w:val="20"/>
        </w:rPr>
        <w:t>These consistent results across different selection metrics strongly support the adoption of a first-order lag (lag = 1) structure, suggesting a more parsimonious and statistically robust model specification for the TVAR framework.</w:t>
      </w:r>
    </w:p>
    <w:p w14:paraId="525A0BDB" w14:textId="77777777" w:rsidR="00191ABF" w:rsidRPr="0050243A" w:rsidRDefault="00191ABF" w:rsidP="008546EF">
      <w:pPr>
        <w:pStyle w:val="BodyText"/>
        <w:spacing w:after="0"/>
        <w:ind w:right="78"/>
        <w:jc w:val="both"/>
        <w:rPr>
          <w:color w:val="000000" w:themeColor="text1"/>
          <w:spacing w:val="-2"/>
          <w:sz w:val="20"/>
          <w:szCs w:val="20"/>
        </w:rPr>
      </w:pPr>
    </w:p>
    <w:p w14:paraId="6385B735" w14:textId="77777777" w:rsidR="00191ABF" w:rsidRDefault="00191ABF" w:rsidP="008546EF">
      <w:pPr>
        <w:pStyle w:val="BodyText"/>
        <w:spacing w:after="0"/>
        <w:ind w:right="78"/>
        <w:jc w:val="both"/>
        <w:rPr>
          <w:b/>
          <w:bCs/>
          <w:color w:val="000000" w:themeColor="text1"/>
          <w:spacing w:val="-2"/>
          <w:sz w:val="20"/>
          <w:szCs w:val="20"/>
        </w:rPr>
      </w:pPr>
      <w:r w:rsidRPr="0050243A">
        <w:rPr>
          <w:b/>
          <w:bCs/>
          <w:color w:val="000000" w:themeColor="text1"/>
          <w:spacing w:val="-2"/>
          <w:sz w:val="20"/>
          <w:szCs w:val="20"/>
        </w:rPr>
        <w:t>Threshold Specification</w:t>
      </w:r>
    </w:p>
    <w:p w14:paraId="26005DB8" w14:textId="77777777" w:rsidR="008546EF" w:rsidRPr="0050243A" w:rsidRDefault="008546EF" w:rsidP="008546EF">
      <w:pPr>
        <w:pStyle w:val="BodyText"/>
        <w:spacing w:after="0"/>
        <w:ind w:right="78"/>
        <w:jc w:val="both"/>
        <w:rPr>
          <w:b/>
          <w:bCs/>
          <w:color w:val="000000" w:themeColor="text1"/>
          <w:spacing w:val="-2"/>
          <w:sz w:val="20"/>
          <w:szCs w:val="20"/>
        </w:rPr>
      </w:pPr>
    </w:p>
    <w:p w14:paraId="1BD2669D" w14:textId="77777777" w:rsidR="00191ABF" w:rsidRDefault="00191ABF" w:rsidP="008546EF">
      <w:pPr>
        <w:pStyle w:val="BodyText"/>
        <w:spacing w:after="0"/>
        <w:ind w:right="78"/>
        <w:jc w:val="both"/>
        <w:rPr>
          <w:color w:val="000000" w:themeColor="text1"/>
          <w:sz w:val="20"/>
          <w:szCs w:val="20"/>
        </w:rPr>
      </w:pPr>
      <w:r w:rsidRPr="0050243A">
        <w:rPr>
          <w:rStyle w:val="Strong"/>
          <w:b w:val="0"/>
          <w:bCs w:val="0"/>
          <w:color w:val="000000" w:themeColor="text1"/>
          <w:sz w:val="20"/>
          <w:szCs w:val="20"/>
        </w:rPr>
        <w:t>Table 4</w:t>
      </w:r>
      <w:r w:rsidRPr="0050243A">
        <w:rPr>
          <w:color w:val="000000" w:themeColor="text1"/>
          <w:sz w:val="20"/>
          <w:szCs w:val="20"/>
        </w:rPr>
        <w:t xml:space="preserve"> presents the results from the discrete threshold specification test applied to the TVAR model. Among the candidate variables, </w:t>
      </w:r>
      <w:r w:rsidRPr="0050243A">
        <w:rPr>
          <w:rStyle w:val="Strong"/>
          <w:b w:val="0"/>
          <w:bCs w:val="0"/>
          <w:color w:val="000000" w:themeColor="text1"/>
          <w:sz w:val="20"/>
          <w:szCs w:val="20"/>
        </w:rPr>
        <w:t>Government Effectiveness</w:t>
      </w:r>
      <w:r w:rsidRPr="0050243A">
        <w:rPr>
          <w:color w:val="000000" w:themeColor="text1"/>
          <w:sz w:val="20"/>
          <w:szCs w:val="20"/>
        </w:rPr>
        <w:t xml:space="preserve"> is identified as the optimal threshold variable based on the minimum AIC, indicating superior model fit.</w:t>
      </w:r>
    </w:p>
    <w:p w14:paraId="758B91DC" w14:textId="77777777" w:rsidR="008546EF" w:rsidRPr="0050243A" w:rsidRDefault="008546EF" w:rsidP="008546EF">
      <w:pPr>
        <w:pStyle w:val="BodyText"/>
        <w:spacing w:after="0"/>
        <w:ind w:right="78"/>
        <w:jc w:val="both"/>
        <w:rPr>
          <w:color w:val="000000" w:themeColor="text1"/>
          <w:spacing w:val="-2"/>
          <w:sz w:val="20"/>
          <w:szCs w:val="20"/>
        </w:rPr>
      </w:pPr>
    </w:p>
    <w:p w14:paraId="71B76043" w14:textId="33CDFD4F" w:rsidR="00191ABF" w:rsidRDefault="00191ABF" w:rsidP="008546EF">
      <w:pPr>
        <w:pStyle w:val="BodyText"/>
        <w:spacing w:after="0"/>
        <w:ind w:right="78"/>
        <w:rPr>
          <w:color w:val="000000" w:themeColor="text1"/>
          <w:spacing w:val="-2"/>
          <w:sz w:val="20"/>
          <w:szCs w:val="20"/>
        </w:rPr>
      </w:pPr>
      <w:r w:rsidRPr="0050243A">
        <w:rPr>
          <w:b/>
          <w:bCs/>
          <w:color w:val="000000" w:themeColor="text1"/>
          <w:spacing w:val="-2"/>
          <w:sz w:val="20"/>
          <w:szCs w:val="20"/>
        </w:rPr>
        <w:t>Table 4</w:t>
      </w:r>
      <w:r w:rsidR="008546EF">
        <w:rPr>
          <w:b/>
          <w:bCs/>
          <w:color w:val="000000" w:themeColor="text1"/>
          <w:spacing w:val="-2"/>
          <w:sz w:val="20"/>
          <w:szCs w:val="20"/>
        </w:rPr>
        <w:t>.</w:t>
      </w:r>
      <w:r w:rsidRPr="0050243A">
        <w:rPr>
          <w:color w:val="000000" w:themeColor="text1"/>
          <w:spacing w:val="-2"/>
          <w:sz w:val="20"/>
          <w:szCs w:val="20"/>
        </w:rPr>
        <w:t xml:space="preserve"> Threshold </w:t>
      </w:r>
      <w:r w:rsidR="008546EF">
        <w:rPr>
          <w:color w:val="000000" w:themeColor="text1"/>
          <w:spacing w:val="-2"/>
          <w:sz w:val="20"/>
          <w:szCs w:val="20"/>
        </w:rPr>
        <w:t>V</w:t>
      </w:r>
      <w:r w:rsidRPr="0050243A">
        <w:rPr>
          <w:color w:val="000000" w:themeColor="text1"/>
          <w:spacing w:val="-2"/>
          <w:sz w:val="20"/>
          <w:szCs w:val="20"/>
        </w:rPr>
        <w:t xml:space="preserve">ariable </w:t>
      </w:r>
      <w:r w:rsidR="008546EF">
        <w:rPr>
          <w:color w:val="000000" w:themeColor="text1"/>
          <w:spacing w:val="-2"/>
          <w:sz w:val="20"/>
          <w:szCs w:val="20"/>
        </w:rPr>
        <w:t>S</w:t>
      </w:r>
      <w:r w:rsidRPr="0050243A">
        <w:rPr>
          <w:color w:val="000000" w:themeColor="text1"/>
          <w:spacing w:val="-2"/>
          <w:sz w:val="20"/>
          <w:szCs w:val="20"/>
        </w:rPr>
        <w:t xml:space="preserve">election and </w:t>
      </w:r>
      <w:r w:rsidR="008546EF">
        <w:rPr>
          <w:color w:val="000000" w:themeColor="text1"/>
          <w:spacing w:val="-2"/>
          <w:sz w:val="20"/>
          <w:szCs w:val="20"/>
        </w:rPr>
        <w:t>E</w:t>
      </w:r>
      <w:r w:rsidRPr="0050243A">
        <w:rPr>
          <w:color w:val="000000" w:themeColor="text1"/>
          <w:spacing w:val="-2"/>
          <w:sz w:val="20"/>
          <w:szCs w:val="20"/>
        </w:rPr>
        <w:t xml:space="preserve">stimated </w:t>
      </w:r>
      <w:r w:rsidR="008546EF">
        <w:rPr>
          <w:color w:val="000000" w:themeColor="text1"/>
          <w:spacing w:val="-2"/>
          <w:sz w:val="20"/>
          <w:szCs w:val="20"/>
        </w:rPr>
        <w:t>T</w:t>
      </w:r>
      <w:r w:rsidRPr="0050243A">
        <w:rPr>
          <w:color w:val="000000" w:themeColor="text1"/>
          <w:spacing w:val="-2"/>
          <w:sz w:val="20"/>
          <w:szCs w:val="20"/>
        </w:rPr>
        <w:t xml:space="preserve">hreshold </w:t>
      </w:r>
      <w:r w:rsidR="008546EF">
        <w:rPr>
          <w:color w:val="000000" w:themeColor="text1"/>
          <w:spacing w:val="-2"/>
          <w:sz w:val="20"/>
          <w:szCs w:val="20"/>
        </w:rPr>
        <w:t>V</w:t>
      </w:r>
      <w:r w:rsidRPr="0050243A">
        <w:rPr>
          <w:color w:val="000000" w:themeColor="text1"/>
          <w:spacing w:val="-2"/>
          <w:sz w:val="20"/>
          <w:szCs w:val="20"/>
        </w:rPr>
        <w:t xml:space="preserve">alue for the TVAR </w:t>
      </w:r>
      <w:r w:rsidR="008546EF">
        <w:rPr>
          <w:color w:val="000000" w:themeColor="text1"/>
          <w:spacing w:val="-2"/>
          <w:sz w:val="20"/>
          <w:szCs w:val="20"/>
        </w:rPr>
        <w:t>M</w:t>
      </w:r>
      <w:r w:rsidRPr="0050243A">
        <w:rPr>
          <w:color w:val="000000" w:themeColor="text1"/>
          <w:spacing w:val="-2"/>
          <w:sz w:val="20"/>
          <w:szCs w:val="20"/>
        </w:rPr>
        <w:t>odel</w:t>
      </w:r>
    </w:p>
    <w:p w14:paraId="159988FF" w14:textId="77777777" w:rsidR="008546EF" w:rsidRPr="0050243A" w:rsidRDefault="008546EF" w:rsidP="008546EF">
      <w:pPr>
        <w:pStyle w:val="BodyText"/>
        <w:spacing w:after="0"/>
        <w:ind w:right="78"/>
        <w:rPr>
          <w:color w:val="000000" w:themeColor="text1"/>
          <w:spacing w:val="-2"/>
          <w:sz w:val="20"/>
          <w:szCs w:val="20"/>
        </w:rPr>
      </w:pP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2066"/>
        <w:gridCol w:w="2400"/>
        <w:gridCol w:w="1866"/>
        <w:gridCol w:w="1617"/>
      </w:tblGrid>
      <w:tr w:rsidR="00191ABF" w:rsidRPr="0050243A" w14:paraId="734173D3" w14:textId="77777777" w:rsidTr="008546EF">
        <w:trPr>
          <w:trHeight w:val="288"/>
        </w:trPr>
        <w:tc>
          <w:tcPr>
            <w:tcW w:w="0" w:type="auto"/>
          </w:tcPr>
          <w:p w14:paraId="22F4D244" w14:textId="77777777" w:rsidR="00191ABF" w:rsidRPr="0050243A" w:rsidRDefault="00191ABF" w:rsidP="008546EF">
            <w:pPr>
              <w:pStyle w:val="BodyText"/>
              <w:spacing w:after="0"/>
              <w:ind w:right="78"/>
              <w:jc w:val="center"/>
              <w:rPr>
                <w:rFonts w:ascii="Times New Roman" w:hAnsi="Times New Roman" w:cs="Times New Roman"/>
                <w:b/>
                <w:bCs/>
                <w:color w:val="000000" w:themeColor="text1"/>
                <w:spacing w:val="-2"/>
                <w:sz w:val="20"/>
                <w:szCs w:val="20"/>
              </w:rPr>
            </w:pPr>
            <w:r w:rsidRPr="0050243A">
              <w:rPr>
                <w:rFonts w:ascii="Times New Roman" w:hAnsi="Times New Roman" w:cs="Times New Roman"/>
                <w:b/>
                <w:bCs/>
                <w:color w:val="000000" w:themeColor="text1"/>
                <w:spacing w:val="-2"/>
                <w:sz w:val="20"/>
                <w:szCs w:val="20"/>
              </w:rPr>
              <w:t>Best threshold variable</w:t>
            </w:r>
          </w:p>
        </w:tc>
        <w:tc>
          <w:tcPr>
            <w:tcW w:w="0" w:type="auto"/>
          </w:tcPr>
          <w:p w14:paraId="25335225" w14:textId="77777777" w:rsidR="00191ABF" w:rsidRPr="0050243A" w:rsidRDefault="00191ABF" w:rsidP="008546EF">
            <w:pPr>
              <w:pStyle w:val="BodyText"/>
              <w:spacing w:after="0"/>
              <w:ind w:right="78"/>
              <w:jc w:val="center"/>
              <w:rPr>
                <w:rFonts w:ascii="Times New Roman" w:hAnsi="Times New Roman" w:cs="Times New Roman"/>
                <w:b/>
                <w:bCs/>
                <w:color w:val="000000" w:themeColor="text1"/>
                <w:spacing w:val="-2"/>
                <w:sz w:val="20"/>
                <w:szCs w:val="20"/>
              </w:rPr>
            </w:pPr>
            <w:r w:rsidRPr="0050243A">
              <w:rPr>
                <w:rFonts w:ascii="Times New Roman" w:hAnsi="Times New Roman" w:cs="Times New Roman"/>
                <w:b/>
                <w:bCs/>
                <w:color w:val="000000" w:themeColor="text1"/>
                <w:spacing w:val="-2"/>
                <w:sz w:val="20"/>
                <w:szCs w:val="20"/>
              </w:rPr>
              <w:t>Maximum no. of thresholds</w:t>
            </w:r>
          </w:p>
        </w:tc>
        <w:tc>
          <w:tcPr>
            <w:tcW w:w="0" w:type="auto"/>
          </w:tcPr>
          <w:p w14:paraId="3CE32E4F" w14:textId="77777777" w:rsidR="00191ABF" w:rsidRPr="0050243A" w:rsidRDefault="00191ABF" w:rsidP="008546EF">
            <w:pPr>
              <w:pStyle w:val="BodyText"/>
              <w:spacing w:after="0"/>
              <w:ind w:right="78"/>
              <w:jc w:val="center"/>
              <w:rPr>
                <w:rFonts w:ascii="Times New Roman" w:hAnsi="Times New Roman" w:cs="Times New Roman"/>
                <w:b/>
                <w:bCs/>
                <w:color w:val="000000" w:themeColor="text1"/>
                <w:spacing w:val="-2"/>
                <w:sz w:val="20"/>
                <w:szCs w:val="20"/>
              </w:rPr>
            </w:pPr>
            <w:r w:rsidRPr="0050243A">
              <w:rPr>
                <w:rFonts w:ascii="Times New Roman" w:hAnsi="Times New Roman" w:cs="Times New Roman"/>
                <w:b/>
                <w:bCs/>
                <w:color w:val="000000" w:themeColor="text1"/>
                <w:spacing w:val="-2"/>
                <w:sz w:val="20"/>
                <w:szCs w:val="20"/>
              </w:rPr>
              <w:t>Estimated threshold</w:t>
            </w:r>
          </w:p>
        </w:tc>
        <w:tc>
          <w:tcPr>
            <w:tcW w:w="0" w:type="auto"/>
          </w:tcPr>
          <w:p w14:paraId="72745082" w14:textId="77777777" w:rsidR="00191ABF" w:rsidRPr="0050243A" w:rsidRDefault="00191ABF" w:rsidP="008546EF">
            <w:pPr>
              <w:pStyle w:val="BodyText"/>
              <w:spacing w:after="0"/>
              <w:ind w:right="78"/>
              <w:jc w:val="center"/>
              <w:rPr>
                <w:rFonts w:ascii="Times New Roman" w:hAnsi="Times New Roman" w:cs="Times New Roman"/>
                <w:b/>
                <w:bCs/>
                <w:color w:val="000000" w:themeColor="text1"/>
                <w:spacing w:val="-2"/>
                <w:sz w:val="20"/>
                <w:szCs w:val="20"/>
              </w:rPr>
            </w:pPr>
            <w:r w:rsidRPr="0050243A">
              <w:rPr>
                <w:rFonts w:ascii="Times New Roman" w:hAnsi="Times New Roman" w:cs="Times New Roman"/>
                <w:b/>
                <w:bCs/>
                <w:color w:val="000000" w:themeColor="text1"/>
                <w:spacing w:val="-2"/>
                <w:sz w:val="20"/>
                <w:szCs w:val="20"/>
              </w:rPr>
              <w:t>Threshold Value</w:t>
            </w:r>
          </w:p>
        </w:tc>
      </w:tr>
      <w:tr w:rsidR="00191ABF" w:rsidRPr="0050243A" w14:paraId="53AACE83" w14:textId="77777777" w:rsidTr="008546EF">
        <w:trPr>
          <w:trHeight w:val="288"/>
        </w:trPr>
        <w:tc>
          <w:tcPr>
            <w:tcW w:w="0" w:type="auto"/>
          </w:tcPr>
          <w:p w14:paraId="3105555F" w14:textId="77777777" w:rsidR="00191ABF" w:rsidRPr="0050243A" w:rsidRDefault="00191ABF" w:rsidP="008546EF">
            <w:pPr>
              <w:pStyle w:val="BodyText"/>
              <w:spacing w:after="0"/>
              <w:ind w:right="78"/>
              <w:jc w:val="center"/>
              <w:rPr>
                <w:rFonts w:ascii="Times New Roman" w:hAnsi="Times New Roman" w:cs="Times New Roman"/>
                <w:color w:val="000000" w:themeColor="text1"/>
                <w:spacing w:val="-2"/>
                <w:sz w:val="20"/>
                <w:szCs w:val="20"/>
              </w:rPr>
            </w:pPr>
            <w:r w:rsidRPr="0050243A">
              <w:rPr>
                <w:rFonts w:ascii="Times New Roman" w:hAnsi="Times New Roman" w:cs="Times New Roman"/>
                <w:color w:val="000000" w:themeColor="text1"/>
                <w:spacing w:val="-2"/>
                <w:sz w:val="20"/>
                <w:szCs w:val="20"/>
              </w:rPr>
              <w:t>Govt Effective</w:t>
            </w:r>
          </w:p>
        </w:tc>
        <w:tc>
          <w:tcPr>
            <w:tcW w:w="0" w:type="auto"/>
          </w:tcPr>
          <w:p w14:paraId="34A8F0C2" w14:textId="77777777" w:rsidR="00191ABF" w:rsidRPr="0050243A" w:rsidRDefault="00191ABF" w:rsidP="008546EF">
            <w:pPr>
              <w:pStyle w:val="BodyText"/>
              <w:spacing w:after="0"/>
              <w:ind w:right="78"/>
              <w:jc w:val="center"/>
              <w:rPr>
                <w:rFonts w:ascii="Times New Roman" w:hAnsi="Times New Roman" w:cs="Times New Roman"/>
                <w:color w:val="000000" w:themeColor="text1"/>
                <w:spacing w:val="-2"/>
                <w:sz w:val="20"/>
                <w:szCs w:val="20"/>
              </w:rPr>
            </w:pPr>
            <w:r w:rsidRPr="0050243A">
              <w:rPr>
                <w:rFonts w:ascii="Times New Roman" w:hAnsi="Times New Roman" w:cs="Times New Roman"/>
                <w:color w:val="000000" w:themeColor="text1"/>
                <w:spacing w:val="-2"/>
                <w:sz w:val="20"/>
                <w:szCs w:val="20"/>
              </w:rPr>
              <w:t>11</w:t>
            </w:r>
          </w:p>
        </w:tc>
        <w:tc>
          <w:tcPr>
            <w:tcW w:w="0" w:type="auto"/>
          </w:tcPr>
          <w:p w14:paraId="502914BF" w14:textId="77777777" w:rsidR="00191ABF" w:rsidRPr="0050243A" w:rsidRDefault="00191ABF" w:rsidP="008546EF">
            <w:pPr>
              <w:pStyle w:val="BodyText"/>
              <w:spacing w:after="0"/>
              <w:ind w:right="78"/>
              <w:jc w:val="center"/>
              <w:rPr>
                <w:rFonts w:ascii="Times New Roman" w:hAnsi="Times New Roman" w:cs="Times New Roman"/>
                <w:color w:val="000000" w:themeColor="text1"/>
                <w:spacing w:val="-2"/>
                <w:sz w:val="20"/>
                <w:szCs w:val="20"/>
              </w:rPr>
            </w:pPr>
            <w:r w:rsidRPr="0050243A">
              <w:rPr>
                <w:rFonts w:ascii="Times New Roman" w:hAnsi="Times New Roman" w:cs="Times New Roman"/>
                <w:color w:val="000000" w:themeColor="text1"/>
                <w:spacing w:val="-2"/>
                <w:sz w:val="20"/>
                <w:szCs w:val="20"/>
              </w:rPr>
              <w:t>1</w:t>
            </w:r>
          </w:p>
        </w:tc>
        <w:tc>
          <w:tcPr>
            <w:tcW w:w="0" w:type="auto"/>
          </w:tcPr>
          <w:p w14:paraId="530DCE29" w14:textId="77777777" w:rsidR="00191ABF" w:rsidRPr="0050243A" w:rsidRDefault="00191ABF" w:rsidP="008546EF">
            <w:pPr>
              <w:pStyle w:val="BodyText"/>
              <w:spacing w:after="0"/>
              <w:ind w:right="78"/>
              <w:jc w:val="center"/>
              <w:rPr>
                <w:rFonts w:ascii="Times New Roman" w:hAnsi="Times New Roman" w:cs="Times New Roman"/>
                <w:color w:val="000000" w:themeColor="text1"/>
                <w:spacing w:val="-2"/>
                <w:sz w:val="20"/>
                <w:szCs w:val="20"/>
              </w:rPr>
            </w:pPr>
            <w:r w:rsidRPr="0050243A">
              <w:rPr>
                <w:rFonts w:ascii="Times New Roman" w:hAnsi="Times New Roman" w:cs="Times New Roman"/>
                <w:color w:val="000000" w:themeColor="text1"/>
                <w:spacing w:val="-2"/>
                <w:sz w:val="20"/>
                <w:szCs w:val="20"/>
              </w:rPr>
              <w:t>-0.0103</w:t>
            </w:r>
          </w:p>
        </w:tc>
      </w:tr>
    </w:tbl>
    <w:p w14:paraId="5AC16CB4" w14:textId="77777777" w:rsidR="00191ABF" w:rsidRPr="0050243A" w:rsidRDefault="00191ABF" w:rsidP="008546EF">
      <w:pPr>
        <w:pStyle w:val="BodyText"/>
        <w:spacing w:after="0"/>
        <w:ind w:right="78"/>
        <w:jc w:val="both"/>
        <w:rPr>
          <w:color w:val="000000" w:themeColor="text1"/>
          <w:sz w:val="20"/>
          <w:szCs w:val="20"/>
        </w:rPr>
      </w:pPr>
    </w:p>
    <w:p w14:paraId="49740B8F" w14:textId="77777777" w:rsidR="00191ABF" w:rsidRPr="0050243A" w:rsidRDefault="00191ABF" w:rsidP="008546EF">
      <w:pPr>
        <w:pStyle w:val="BodyText"/>
        <w:spacing w:after="0" w:line="324" w:lineRule="auto"/>
        <w:ind w:right="79"/>
        <w:jc w:val="both"/>
        <w:rPr>
          <w:color w:val="000000" w:themeColor="text1"/>
          <w:sz w:val="20"/>
          <w:szCs w:val="20"/>
        </w:rPr>
      </w:pPr>
      <w:r w:rsidRPr="0050243A">
        <w:rPr>
          <w:color w:val="000000" w:themeColor="text1"/>
          <w:sz w:val="20"/>
          <w:szCs w:val="20"/>
        </w:rPr>
        <w:t xml:space="preserve">The test selects a </w:t>
      </w:r>
      <w:r w:rsidRPr="0050243A">
        <w:rPr>
          <w:rStyle w:val="Strong"/>
          <w:b w:val="0"/>
          <w:bCs w:val="0"/>
          <w:color w:val="000000" w:themeColor="text1"/>
          <w:sz w:val="20"/>
          <w:szCs w:val="20"/>
        </w:rPr>
        <w:t>single threshold</w:t>
      </w:r>
      <w:r w:rsidRPr="0050243A">
        <w:rPr>
          <w:color w:val="000000" w:themeColor="text1"/>
          <w:sz w:val="20"/>
          <w:szCs w:val="20"/>
        </w:rPr>
        <w:t xml:space="preserve">, implying the presence of </w:t>
      </w:r>
      <w:r w:rsidRPr="0050243A">
        <w:rPr>
          <w:rStyle w:val="Strong"/>
          <w:b w:val="0"/>
          <w:bCs w:val="0"/>
          <w:color w:val="000000" w:themeColor="text1"/>
          <w:sz w:val="20"/>
          <w:szCs w:val="20"/>
        </w:rPr>
        <w:t>two distinct regimes</w:t>
      </w:r>
      <w:r w:rsidRPr="0050243A">
        <w:rPr>
          <w:color w:val="000000" w:themeColor="text1"/>
          <w:sz w:val="20"/>
          <w:szCs w:val="20"/>
        </w:rPr>
        <w:t xml:space="preserve">. The estimated threshold value of </w:t>
      </w:r>
      <w:r w:rsidRPr="0050243A">
        <w:rPr>
          <w:rStyle w:val="Strong"/>
          <w:b w:val="0"/>
          <w:bCs w:val="0"/>
          <w:color w:val="000000" w:themeColor="text1"/>
          <w:sz w:val="20"/>
          <w:szCs w:val="20"/>
        </w:rPr>
        <w:t>–0.0103</w:t>
      </w:r>
      <w:r w:rsidRPr="0050243A">
        <w:rPr>
          <w:color w:val="000000" w:themeColor="text1"/>
          <w:sz w:val="20"/>
          <w:szCs w:val="20"/>
        </w:rPr>
        <w:t xml:space="preserve"> effectively partitions the observations into periods of low </w:t>
      </w:r>
      <w:r w:rsidRPr="0050243A">
        <w:rPr>
          <w:color w:val="000000" w:themeColor="text1"/>
          <w:sz w:val="20"/>
          <w:szCs w:val="20"/>
        </w:rPr>
        <w:lastRenderedPageBreak/>
        <w:t>and high government effectiveness, capturing potential nonlinear dynamics across regimes in the remittance-macroeconomic relationship.</w:t>
      </w:r>
    </w:p>
    <w:p w14:paraId="03EC4272" w14:textId="77777777" w:rsidR="00191ABF" w:rsidRPr="0050243A" w:rsidRDefault="00191ABF" w:rsidP="008546EF">
      <w:pPr>
        <w:pStyle w:val="BodyText"/>
        <w:spacing w:after="0"/>
        <w:ind w:right="78"/>
        <w:jc w:val="both"/>
        <w:rPr>
          <w:color w:val="000000" w:themeColor="text1"/>
          <w:spacing w:val="-2"/>
          <w:sz w:val="20"/>
          <w:szCs w:val="20"/>
        </w:rPr>
      </w:pPr>
    </w:p>
    <w:p w14:paraId="19BDCC8F" w14:textId="44538369" w:rsidR="00191ABF" w:rsidRDefault="00191ABF" w:rsidP="008546EF">
      <w:pPr>
        <w:ind w:right="78"/>
        <w:jc w:val="both"/>
        <w:rPr>
          <w:b/>
          <w:bCs/>
          <w:color w:val="000000" w:themeColor="text1"/>
          <w:sz w:val="20"/>
          <w:szCs w:val="20"/>
        </w:rPr>
      </w:pPr>
      <w:r w:rsidRPr="0050243A">
        <w:rPr>
          <w:b/>
          <w:bCs/>
          <w:color w:val="000000" w:themeColor="text1"/>
          <w:sz w:val="20"/>
          <w:szCs w:val="20"/>
        </w:rPr>
        <w:t>Estimation of TVAR model</w:t>
      </w:r>
    </w:p>
    <w:p w14:paraId="7EE1FD68" w14:textId="77777777" w:rsidR="008546EF" w:rsidRPr="0050243A" w:rsidRDefault="008546EF" w:rsidP="008546EF">
      <w:pPr>
        <w:ind w:right="78"/>
        <w:jc w:val="both"/>
        <w:rPr>
          <w:b/>
          <w:bCs/>
          <w:color w:val="000000" w:themeColor="text1"/>
          <w:sz w:val="20"/>
          <w:szCs w:val="20"/>
        </w:rPr>
      </w:pPr>
    </w:p>
    <w:p w14:paraId="215D45D2" w14:textId="77777777" w:rsidR="00191ABF" w:rsidRDefault="00191ABF" w:rsidP="008546EF">
      <w:pPr>
        <w:spacing w:line="324" w:lineRule="auto"/>
        <w:ind w:right="79"/>
        <w:jc w:val="both"/>
        <w:rPr>
          <w:color w:val="000000" w:themeColor="text1"/>
          <w:sz w:val="20"/>
          <w:szCs w:val="20"/>
        </w:rPr>
      </w:pPr>
      <w:r w:rsidRPr="0050243A">
        <w:rPr>
          <w:color w:val="000000" w:themeColor="text1"/>
          <w:sz w:val="20"/>
          <w:szCs w:val="20"/>
        </w:rPr>
        <w:t xml:space="preserve">Table 5 presents the results of the </w:t>
      </w:r>
      <w:bookmarkStart w:id="7" w:name="_Hlk201946767"/>
      <w:r w:rsidRPr="0050243A">
        <w:rPr>
          <w:color w:val="000000" w:themeColor="text1"/>
          <w:sz w:val="20"/>
          <w:szCs w:val="20"/>
        </w:rPr>
        <w:t xml:space="preserve">TVAR model </w:t>
      </w:r>
      <w:bookmarkEnd w:id="7"/>
      <w:r w:rsidRPr="0050243A">
        <w:rPr>
          <w:color w:val="000000" w:themeColor="text1"/>
          <w:sz w:val="20"/>
          <w:szCs w:val="20"/>
        </w:rPr>
        <w:t>for Regime 1, defined by instances where Government Effectiveness (Govt effect) is less than or equal to -0.0103. In this regime, the dependent variable, Remittances, is significantly influenced by various lagged economic and governance indicators. The analysis reveals that Remittances, Unemployment, Inflation, Interest Rate Spread, Corruption, Government Effectiveness, and Overseas employment growth are statistically significant predictors at lag 1, as indicated by their p-values below the 0.05 threshold. This suggests a strong association between these variables and remittance inflows within this regime. In contrast, variables such as GDP per capita, Exchange rate, Lending Interest Rate, and Political Stability (Political) are found to be statistically insignificant at lag 1, with p-values exceeding 0.05, indicating a weaker or non-existent short-term relationship with remittance flows under this specific regime condition.</w:t>
      </w:r>
    </w:p>
    <w:p w14:paraId="6EBA2665" w14:textId="77777777" w:rsidR="008546EF" w:rsidRPr="0050243A" w:rsidRDefault="008546EF" w:rsidP="008546EF">
      <w:pPr>
        <w:ind w:right="78"/>
        <w:jc w:val="both"/>
        <w:rPr>
          <w:color w:val="000000" w:themeColor="text1"/>
          <w:sz w:val="20"/>
          <w:szCs w:val="20"/>
        </w:rPr>
      </w:pPr>
    </w:p>
    <w:p w14:paraId="124C41CA" w14:textId="32524224" w:rsidR="00191ABF" w:rsidRDefault="00191ABF" w:rsidP="008546EF">
      <w:pPr>
        <w:ind w:right="78"/>
        <w:rPr>
          <w:color w:val="000000" w:themeColor="text1"/>
          <w:spacing w:val="-2"/>
          <w:sz w:val="20"/>
          <w:szCs w:val="20"/>
        </w:rPr>
      </w:pPr>
      <w:r w:rsidRPr="0050243A">
        <w:rPr>
          <w:b/>
          <w:bCs/>
          <w:color w:val="000000" w:themeColor="text1"/>
          <w:sz w:val="20"/>
          <w:szCs w:val="20"/>
        </w:rPr>
        <w:t>Table</w:t>
      </w:r>
      <w:r w:rsidRPr="0050243A">
        <w:rPr>
          <w:b/>
          <w:bCs/>
          <w:color w:val="000000" w:themeColor="text1"/>
          <w:spacing w:val="-2"/>
          <w:sz w:val="20"/>
          <w:szCs w:val="20"/>
        </w:rPr>
        <w:t xml:space="preserve"> </w:t>
      </w:r>
      <w:r w:rsidRPr="0050243A">
        <w:rPr>
          <w:b/>
          <w:bCs/>
          <w:color w:val="000000" w:themeColor="text1"/>
          <w:sz w:val="20"/>
          <w:szCs w:val="20"/>
        </w:rPr>
        <w:t>5</w:t>
      </w:r>
      <w:r w:rsidR="008546EF">
        <w:rPr>
          <w:b/>
          <w:bCs/>
          <w:color w:val="000000" w:themeColor="text1"/>
          <w:sz w:val="20"/>
          <w:szCs w:val="20"/>
        </w:rPr>
        <w:t>.</w:t>
      </w:r>
      <w:r w:rsidRPr="0050243A">
        <w:rPr>
          <w:color w:val="000000" w:themeColor="text1"/>
          <w:spacing w:val="-2"/>
          <w:sz w:val="20"/>
          <w:szCs w:val="20"/>
        </w:rPr>
        <w:t xml:space="preserve"> </w:t>
      </w:r>
      <w:r w:rsidRPr="0050243A">
        <w:rPr>
          <w:color w:val="000000" w:themeColor="text1"/>
          <w:sz w:val="20"/>
          <w:szCs w:val="20"/>
        </w:rPr>
        <w:t>Estimation</w:t>
      </w:r>
      <w:r w:rsidRPr="0050243A">
        <w:rPr>
          <w:color w:val="000000" w:themeColor="text1"/>
          <w:spacing w:val="-1"/>
          <w:sz w:val="20"/>
          <w:szCs w:val="20"/>
        </w:rPr>
        <w:t xml:space="preserve"> </w:t>
      </w:r>
      <w:r w:rsidRPr="0050243A">
        <w:rPr>
          <w:color w:val="000000" w:themeColor="text1"/>
          <w:sz w:val="20"/>
          <w:szCs w:val="20"/>
        </w:rPr>
        <w:t>Results</w:t>
      </w:r>
      <w:r w:rsidRPr="0050243A">
        <w:rPr>
          <w:color w:val="000000" w:themeColor="text1"/>
          <w:spacing w:val="-1"/>
          <w:sz w:val="20"/>
          <w:szCs w:val="20"/>
        </w:rPr>
        <w:t xml:space="preserve"> </w:t>
      </w:r>
      <w:r w:rsidRPr="0050243A">
        <w:rPr>
          <w:color w:val="000000" w:themeColor="text1"/>
          <w:sz w:val="20"/>
          <w:szCs w:val="20"/>
        </w:rPr>
        <w:t>of</w:t>
      </w:r>
      <w:r w:rsidRPr="0050243A">
        <w:rPr>
          <w:color w:val="000000" w:themeColor="text1"/>
          <w:spacing w:val="-1"/>
          <w:sz w:val="20"/>
          <w:szCs w:val="20"/>
        </w:rPr>
        <w:t xml:space="preserve"> </w:t>
      </w:r>
      <w:r w:rsidRPr="0050243A">
        <w:rPr>
          <w:color w:val="000000" w:themeColor="text1"/>
          <w:sz w:val="20"/>
          <w:szCs w:val="20"/>
        </w:rPr>
        <w:t xml:space="preserve">TVAR </w:t>
      </w:r>
      <w:r w:rsidRPr="0050243A">
        <w:rPr>
          <w:color w:val="000000" w:themeColor="text1"/>
          <w:spacing w:val="-2"/>
          <w:sz w:val="20"/>
          <w:szCs w:val="20"/>
        </w:rPr>
        <w:t>Model</w:t>
      </w:r>
    </w:p>
    <w:p w14:paraId="407BC2E4" w14:textId="77777777" w:rsidR="008546EF" w:rsidRPr="0050243A" w:rsidRDefault="008546EF" w:rsidP="008546EF">
      <w:pPr>
        <w:ind w:right="78"/>
        <w:rPr>
          <w:color w:val="000000" w:themeColor="text1"/>
          <w:sz w:val="20"/>
          <w:szCs w:val="20"/>
        </w:rPr>
      </w:pPr>
    </w:p>
    <w:tbl>
      <w:tblPr>
        <w:tblW w:w="7944" w:type="dxa"/>
        <w:tblInd w:w="10"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67"/>
        <w:gridCol w:w="892"/>
        <w:gridCol w:w="912"/>
        <w:gridCol w:w="810"/>
        <w:gridCol w:w="795"/>
        <w:gridCol w:w="902"/>
        <w:gridCol w:w="912"/>
        <w:gridCol w:w="758"/>
        <w:gridCol w:w="796"/>
      </w:tblGrid>
      <w:tr w:rsidR="00191ABF" w:rsidRPr="0050243A" w14:paraId="539D2470" w14:textId="77777777" w:rsidTr="00083789">
        <w:trPr>
          <w:trHeight w:val="498"/>
        </w:trPr>
        <w:tc>
          <w:tcPr>
            <w:tcW w:w="1167" w:type="dxa"/>
            <w:vMerge w:val="restart"/>
          </w:tcPr>
          <w:p w14:paraId="12849437" w14:textId="77777777" w:rsidR="00191ABF" w:rsidRPr="00083789" w:rsidRDefault="00191ABF" w:rsidP="008546EF">
            <w:pPr>
              <w:pStyle w:val="TableParagraph"/>
              <w:ind w:right="78"/>
              <w:rPr>
                <w:b/>
                <w:bCs/>
                <w:color w:val="000000" w:themeColor="text1"/>
                <w:sz w:val="16"/>
                <w:szCs w:val="16"/>
              </w:rPr>
            </w:pPr>
            <w:r w:rsidRPr="00083789">
              <w:rPr>
                <w:b/>
                <w:bCs/>
                <w:color w:val="000000" w:themeColor="text1"/>
                <w:spacing w:val="-2"/>
                <w:sz w:val="16"/>
                <w:szCs w:val="16"/>
              </w:rPr>
              <w:t>Variable (Lag=1)</w:t>
            </w:r>
          </w:p>
        </w:tc>
        <w:tc>
          <w:tcPr>
            <w:tcW w:w="3409" w:type="dxa"/>
            <w:gridSpan w:val="4"/>
          </w:tcPr>
          <w:p w14:paraId="0336AD71" w14:textId="77777777" w:rsidR="00191ABF" w:rsidRPr="00083789" w:rsidRDefault="00191ABF" w:rsidP="008546EF">
            <w:pPr>
              <w:pStyle w:val="TableParagraph"/>
              <w:ind w:right="78"/>
              <w:rPr>
                <w:b/>
                <w:bCs/>
                <w:color w:val="000000" w:themeColor="text1"/>
                <w:sz w:val="16"/>
                <w:szCs w:val="16"/>
              </w:rPr>
            </w:pPr>
            <w:r w:rsidRPr="00083789">
              <w:rPr>
                <w:b/>
                <w:bCs/>
                <w:color w:val="000000" w:themeColor="text1"/>
                <w:sz w:val="16"/>
                <w:szCs w:val="16"/>
              </w:rPr>
              <w:t>Regime</w:t>
            </w:r>
            <w:r w:rsidRPr="00083789">
              <w:rPr>
                <w:b/>
                <w:bCs/>
                <w:color w:val="000000" w:themeColor="text1"/>
                <w:spacing w:val="-9"/>
                <w:sz w:val="16"/>
                <w:szCs w:val="16"/>
              </w:rPr>
              <w:t xml:space="preserve"> </w:t>
            </w:r>
            <w:r w:rsidRPr="00083789">
              <w:rPr>
                <w:b/>
                <w:bCs/>
                <w:color w:val="000000" w:themeColor="text1"/>
                <w:sz w:val="16"/>
                <w:szCs w:val="16"/>
              </w:rPr>
              <w:t>1:</w:t>
            </w:r>
            <w:r w:rsidRPr="00083789">
              <w:rPr>
                <w:b/>
                <w:bCs/>
                <w:color w:val="000000" w:themeColor="text1"/>
                <w:spacing w:val="-7"/>
                <w:sz w:val="16"/>
                <w:szCs w:val="16"/>
              </w:rPr>
              <w:t xml:space="preserve"> </w:t>
            </w:r>
            <w:r w:rsidRPr="00083789">
              <w:rPr>
                <w:b/>
                <w:bCs/>
                <w:color w:val="000000" w:themeColor="text1"/>
                <w:sz w:val="16"/>
                <w:szCs w:val="16"/>
              </w:rPr>
              <w:t>Govt</w:t>
            </w:r>
            <w:r w:rsidRPr="00083789">
              <w:rPr>
                <w:b/>
                <w:bCs/>
                <w:color w:val="000000" w:themeColor="text1"/>
                <w:spacing w:val="-8"/>
                <w:sz w:val="16"/>
                <w:szCs w:val="16"/>
              </w:rPr>
              <w:t xml:space="preserve"> </w:t>
            </w:r>
            <w:r w:rsidRPr="00083789">
              <w:rPr>
                <w:b/>
                <w:bCs/>
                <w:color w:val="000000" w:themeColor="text1"/>
                <w:sz w:val="16"/>
                <w:szCs w:val="16"/>
              </w:rPr>
              <w:t>effective</w:t>
            </w:r>
            <w:r w:rsidRPr="00083789">
              <w:rPr>
                <w:b/>
                <w:bCs/>
                <w:color w:val="000000" w:themeColor="text1"/>
                <w:spacing w:val="-10"/>
                <w:sz w:val="16"/>
                <w:szCs w:val="16"/>
              </w:rPr>
              <w:t xml:space="preserve"> </w:t>
            </w:r>
            <w:r w:rsidRPr="00083789">
              <w:rPr>
                <w:b/>
                <w:bCs/>
                <w:color w:val="000000" w:themeColor="text1"/>
                <w:sz w:val="16"/>
                <w:szCs w:val="16"/>
              </w:rPr>
              <w:t>≤</w:t>
            </w:r>
            <w:r w:rsidRPr="00083789">
              <w:rPr>
                <w:b/>
                <w:bCs/>
                <w:color w:val="000000" w:themeColor="text1"/>
                <w:spacing w:val="-7"/>
                <w:sz w:val="16"/>
                <w:szCs w:val="16"/>
              </w:rPr>
              <w:t xml:space="preserve"> </w:t>
            </w:r>
            <w:r w:rsidRPr="00083789">
              <w:rPr>
                <w:b/>
                <w:bCs/>
                <w:color w:val="000000" w:themeColor="text1"/>
                <w:sz w:val="16"/>
                <w:szCs w:val="16"/>
              </w:rPr>
              <w:t>-0.0103 Percentage of Observation=52%</w:t>
            </w:r>
          </w:p>
        </w:tc>
        <w:tc>
          <w:tcPr>
            <w:tcW w:w="3367" w:type="dxa"/>
            <w:gridSpan w:val="4"/>
          </w:tcPr>
          <w:p w14:paraId="63A88903" w14:textId="77777777" w:rsidR="00191ABF" w:rsidRPr="00083789" w:rsidRDefault="00191ABF" w:rsidP="008546EF">
            <w:pPr>
              <w:pStyle w:val="TableParagraph"/>
              <w:ind w:right="78"/>
              <w:rPr>
                <w:b/>
                <w:bCs/>
                <w:color w:val="000000" w:themeColor="text1"/>
                <w:sz w:val="16"/>
                <w:szCs w:val="16"/>
              </w:rPr>
            </w:pPr>
            <w:r w:rsidRPr="00083789">
              <w:rPr>
                <w:b/>
                <w:bCs/>
                <w:color w:val="000000" w:themeColor="text1"/>
                <w:sz w:val="16"/>
                <w:szCs w:val="16"/>
              </w:rPr>
              <w:t>Regime</w:t>
            </w:r>
            <w:r w:rsidRPr="00083789">
              <w:rPr>
                <w:b/>
                <w:bCs/>
                <w:color w:val="000000" w:themeColor="text1"/>
                <w:spacing w:val="-9"/>
                <w:sz w:val="16"/>
                <w:szCs w:val="16"/>
              </w:rPr>
              <w:t xml:space="preserve"> </w:t>
            </w:r>
            <w:r w:rsidRPr="00083789">
              <w:rPr>
                <w:b/>
                <w:bCs/>
                <w:color w:val="000000" w:themeColor="text1"/>
                <w:sz w:val="16"/>
                <w:szCs w:val="16"/>
              </w:rPr>
              <w:t>2:</w:t>
            </w:r>
            <w:r w:rsidRPr="00083789">
              <w:rPr>
                <w:b/>
                <w:bCs/>
                <w:color w:val="000000" w:themeColor="text1"/>
                <w:spacing w:val="-7"/>
                <w:sz w:val="16"/>
                <w:szCs w:val="16"/>
              </w:rPr>
              <w:t xml:space="preserve"> </w:t>
            </w:r>
            <w:r w:rsidRPr="00083789">
              <w:rPr>
                <w:b/>
                <w:bCs/>
                <w:color w:val="000000" w:themeColor="text1"/>
                <w:sz w:val="16"/>
                <w:szCs w:val="16"/>
              </w:rPr>
              <w:t>Govt</w:t>
            </w:r>
            <w:r w:rsidRPr="00083789">
              <w:rPr>
                <w:b/>
                <w:bCs/>
                <w:color w:val="000000" w:themeColor="text1"/>
                <w:spacing w:val="-8"/>
                <w:sz w:val="16"/>
                <w:szCs w:val="16"/>
              </w:rPr>
              <w:t xml:space="preserve"> </w:t>
            </w:r>
            <w:r w:rsidRPr="00083789">
              <w:rPr>
                <w:b/>
                <w:bCs/>
                <w:color w:val="000000" w:themeColor="text1"/>
                <w:sz w:val="16"/>
                <w:szCs w:val="16"/>
              </w:rPr>
              <w:t>effective</w:t>
            </w:r>
            <w:r w:rsidRPr="00083789">
              <w:rPr>
                <w:b/>
                <w:bCs/>
                <w:color w:val="000000" w:themeColor="text1"/>
                <w:spacing w:val="-10"/>
                <w:sz w:val="16"/>
                <w:szCs w:val="16"/>
              </w:rPr>
              <w:t xml:space="preserve"> </w:t>
            </w:r>
            <w:r w:rsidRPr="00083789">
              <w:rPr>
                <w:b/>
                <w:bCs/>
                <w:color w:val="000000" w:themeColor="text1"/>
                <w:sz w:val="16"/>
                <w:szCs w:val="16"/>
              </w:rPr>
              <w:t>&gt;</w:t>
            </w:r>
            <w:r w:rsidRPr="00083789">
              <w:rPr>
                <w:b/>
                <w:bCs/>
                <w:color w:val="000000" w:themeColor="text1"/>
                <w:spacing w:val="-7"/>
                <w:sz w:val="16"/>
                <w:szCs w:val="16"/>
              </w:rPr>
              <w:t xml:space="preserve"> </w:t>
            </w:r>
            <w:r w:rsidRPr="00083789">
              <w:rPr>
                <w:b/>
                <w:bCs/>
                <w:color w:val="000000" w:themeColor="text1"/>
                <w:sz w:val="16"/>
                <w:szCs w:val="16"/>
              </w:rPr>
              <w:t>-0.0103 Percentage of Observation=48%</w:t>
            </w:r>
          </w:p>
        </w:tc>
      </w:tr>
      <w:tr w:rsidR="00191ABF" w:rsidRPr="0050243A" w14:paraId="5C3D7222" w14:textId="77777777" w:rsidTr="00083789">
        <w:trPr>
          <w:trHeight w:val="259"/>
        </w:trPr>
        <w:tc>
          <w:tcPr>
            <w:tcW w:w="1167" w:type="dxa"/>
            <w:vMerge/>
          </w:tcPr>
          <w:p w14:paraId="4E8BC031" w14:textId="77777777" w:rsidR="00191ABF" w:rsidRPr="00083789" w:rsidRDefault="00191ABF" w:rsidP="008546EF">
            <w:pPr>
              <w:ind w:right="78"/>
              <w:rPr>
                <w:b/>
                <w:bCs/>
                <w:color w:val="000000" w:themeColor="text1"/>
                <w:sz w:val="16"/>
                <w:szCs w:val="16"/>
              </w:rPr>
            </w:pPr>
          </w:p>
        </w:tc>
        <w:tc>
          <w:tcPr>
            <w:tcW w:w="891" w:type="dxa"/>
            <w:shd w:val="clear" w:color="auto" w:fill="F1F1F1"/>
          </w:tcPr>
          <w:p w14:paraId="6258FA08" w14:textId="77777777" w:rsidR="00191ABF" w:rsidRPr="00083789" w:rsidRDefault="00191ABF" w:rsidP="008546EF">
            <w:pPr>
              <w:pStyle w:val="TableParagraph"/>
              <w:ind w:right="78"/>
              <w:rPr>
                <w:b/>
                <w:bCs/>
                <w:color w:val="000000" w:themeColor="text1"/>
                <w:sz w:val="16"/>
                <w:szCs w:val="16"/>
              </w:rPr>
            </w:pPr>
            <w:r w:rsidRPr="00083789">
              <w:rPr>
                <w:b/>
                <w:bCs/>
                <w:color w:val="000000" w:themeColor="text1"/>
                <w:spacing w:val="-2"/>
                <w:sz w:val="16"/>
                <w:szCs w:val="16"/>
              </w:rPr>
              <w:t>Estimate</w:t>
            </w:r>
          </w:p>
        </w:tc>
        <w:tc>
          <w:tcPr>
            <w:tcW w:w="912" w:type="dxa"/>
            <w:shd w:val="clear" w:color="auto" w:fill="F1F1F1"/>
          </w:tcPr>
          <w:p w14:paraId="0A7CE3C5" w14:textId="77777777" w:rsidR="00191ABF" w:rsidRPr="00083789" w:rsidRDefault="00191ABF" w:rsidP="008546EF">
            <w:pPr>
              <w:pStyle w:val="TableParagraph"/>
              <w:ind w:right="78"/>
              <w:rPr>
                <w:b/>
                <w:bCs/>
                <w:color w:val="000000" w:themeColor="text1"/>
                <w:sz w:val="16"/>
                <w:szCs w:val="16"/>
              </w:rPr>
            </w:pPr>
            <w:r w:rsidRPr="00083789">
              <w:rPr>
                <w:b/>
                <w:bCs/>
                <w:color w:val="000000" w:themeColor="text1"/>
                <w:sz w:val="16"/>
                <w:szCs w:val="16"/>
              </w:rPr>
              <w:t xml:space="preserve">St. </w:t>
            </w:r>
            <w:r w:rsidRPr="00083789">
              <w:rPr>
                <w:b/>
                <w:bCs/>
                <w:color w:val="000000" w:themeColor="text1"/>
                <w:spacing w:val="-2"/>
                <w:sz w:val="16"/>
                <w:szCs w:val="16"/>
              </w:rPr>
              <w:t>Error</w:t>
            </w:r>
          </w:p>
        </w:tc>
        <w:tc>
          <w:tcPr>
            <w:tcW w:w="810" w:type="dxa"/>
            <w:shd w:val="clear" w:color="auto" w:fill="F1F1F1"/>
          </w:tcPr>
          <w:p w14:paraId="743AAE64" w14:textId="77777777" w:rsidR="00191ABF" w:rsidRPr="00083789" w:rsidRDefault="00191ABF" w:rsidP="008546EF">
            <w:pPr>
              <w:pStyle w:val="TableParagraph"/>
              <w:ind w:right="78"/>
              <w:rPr>
                <w:b/>
                <w:bCs/>
                <w:color w:val="000000" w:themeColor="text1"/>
                <w:sz w:val="16"/>
                <w:szCs w:val="16"/>
              </w:rPr>
            </w:pPr>
            <w:r w:rsidRPr="00083789">
              <w:rPr>
                <w:b/>
                <w:bCs/>
                <w:color w:val="000000" w:themeColor="text1"/>
                <w:sz w:val="16"/>
                <w:szCs w:val="16"/>
              </w:rPr>
              <w:t>t-</w:t>
            </w:r>
            <w:r w:rsidRPr="00083789">
              <w:rPr>
                <w:b/>
                <w:bCs/>
                <w:color w:val="000000" w:themeColor="text1"/>
                <w:spacing w:val="-2"/>
                <w:sz w:val="16"/>
                <w:szCs w:val="16"/>
              </w:rPr>
              <w:t>value</w:t>
            </w:r>
          </w:p>
        </w:tc>
        <w:tc>
          <w:tcPr>
            <w:tcW w:w="794" w:type="dxa"/>
            <w:shd w:val="clear" w:color="auto" w:fill="F1F1F1"/>
          </w:tcPr>
          <w:p w14:paraId="0A412A84" w14:textId="77777777" w:rsidR="00191ABF" w:rsidRPr="00083789" w:rsidRDefault="00191ABF" w:rsidP="008546EF">
            <w:pPr>
              <w:pStyle w:val="TableParagraph"/>
              <w:ind w:right="78"/>
              <w:rPr>
                <w:b/>
                <w:bCs/>
                <w:color w:val="000000" w:themeColor="text1"/>
                <w:sz w:val="16"/>
                <w:szCs w:val="16"/>
              </w:rPr>
            </w:pPr>
            <w:r w:rsidRPr="00083789">
              <w:rPr>
                <w:b/>
                <w:bCs/>
                <w:color w:val="000000" w:themeColor="text1"/>
                <w:spacing w:val="-2"/>
                <w:sz w:val="16"/>
                <w:szCs w:val="16"/>
              </w:rPr>
              <w:t>P-value</w:t>
            </w:r>
          </w:p>
        </w:tc>
        <w:tc>
          <w:tcPr>
            <w:tcW w:w="902" w:type="dxa"/>
            <w:shd w:val="clear" w:color="auto" w:fill="F1F1F1"/>
          </w:tcPr>
          <w:p w14:paraId="0108CAEC" w14:textId="77777777" w:rsidR="00191ABF" w:rsidRPr="00083789" w:rsidRDefault="00191ABF" w:rsidP="008546EF">
            <w:pPr>
              <w:pStyle w:val="TableParagraph"/>
              <w:ind w:right="78"/>
              <w:rPr>
                <w:b/>
                <w:bCs/>
                <w:color w:val="000000" w:themeColor="text1"/>
                <w:sz w:val="16"/>
                <w:szCs w:val="16"/>
              </w:rPr>
            </w:pPr>
            <w:r w:rsidRPr="00083789">
              <w:rPr>
                <w:b/>
                <w:bCs/>
                <w:color w:val="000000" w:themeColor="text1"/>
                <w:spacing w:val="-2"/>
                <w:sz w:val="16"/>
                <w:szCs w:val="16"/>
              </w:rPr>
              <w:t>Estimate</w:t>
            </w:r>
          </w:p>
        </w:tc>
        <w:tc>
          <w:tcPr>
            <w:tcW w:w="912" w:type="dxa"/>
            <w:shd w:val="clear" w:color="auto" w:fill="F1F1F1"/>
          </w:tcPr>
          <w:p w14:paraId="495D5F5B" w14:textId="77777777" w:rsidR="00191ABF" w:rsidRPr="00083789" w:rsidRDefault="00191ABF" w:rsidP="008546EF">
            <w:pPr>
              <w:pStyle w:val="TableParagraph"/>
              <w:ind w:right="78"/>
              <w:rPr>
                <w:b/>
                <w:bCs/>
                <w:color w:val="000000" w:themeColor="text1"/>
                <w:sz w:val="16"/>
                <w:szCs w:val="16"/>
              </w:rPr>
            </w:pPr>
            <w:r w:rsidRPr="00083789">
              <w:rPr>
                <w:b/>
                <w:bCs/>
                <w:color w:val="000000" w:themeColor="text1"/>
                <w:sz w:val="16"/>
                <w:szCs w:val="16"/>
              </w:rPr>
              <w:t xml:space="preserve">St. </w:t>
            </w:r>
            <w:r w:rsidRPr="00083789">
              <w:rPr>
                <w:b/>
                <w:bCs/>
                <w:color w:val="000000" w:themeColor="text1"/>
                <w:spacing w:val="-2"/>
                <w:sz w:val="16"/>
                <w:szCs w:val="16"/>
              </w:rPr>
              <w:t>Error</w:t>
            </w:r>
          </w:p>
        </w:tc>
        <w:tc>
          <w:tcPr>
            <w:tcW w:w="758" w:type="dxa"/>
            <w:shd w:val="clear" w:color="auto" w:fill="F1F1F1"/>
          </w:tcPr>
          <w:p w14:paraId="1E1FF290" w14:textId="77777777" w:rsidR="00191ABF" w:rsidRPr="00083789" w:rsidRDefault="00191ABF" w:rsidP="008546EF">
            <w:pPr>
              <w:pStyle w:val="TableParagraph"/>
              <w:ind w:right="78"/>
              <w:rPr>
                <w:b/>
                <w:bCs/>
                <w:color w:val="000000" w:themeColor="text1"/>
                <w:sz w:val="16"/>
                <w:szCs w:val="16"/>
              </w:rPr>
            </w:pPr>
            <w:r w:rsidRPr="00083789">
              <w:rPr>
                <w:b/>
                <w:bCs/>
                <w:color w:val="000000" w:themeColor="text1"/>
                <w:sz w:val="16"/>
                <w:szCs w:val="16"/>
              </w:rPr>
              <w:t>t-</w:t>
            </w:r>
            <w:r w:rsidRPr="00083789">
              <w:rPr>
                <w:b/>
                <w:bCs/>
                <w:color w:val="000000" w:themeColor="text1"/>
                <w:spacing w:val="-2"/>
                <w:sz w:val="16"/>
                <w:szCs w:val="16"/>
              </w:rPr>
              <w:t>value</w:t>
            </w:r>
          </w:p>
        </w:tc>
        <w:tc>
          <w:tcPr>
            <w:tcW w:w="793" w:type="dxa"/>
            <w:shd w:val="clear" w:color="auto" w:fill="F1F1F1"/>
          </w:tcPr>
          <w:p w14:paraId="4AA94EB6" w14:textId="77777777" w:rsidR="00191ABF" w:rsidRPr="00083789" w:rsidRDefault="00191ABF" w:rsidP="008546EF">
            <w:pPr>
              <w:pStyle w:val="TableParagraph"/>
              <w:ind w:right="78"/>
              <w:rPr>
                <w:b/>
                <w:bCs/>
                <w:color w:val="000000" w:themeColor="text1"/>
                <w:sz w:val="16"/>
                <w:szCs w:val="16"/>
              </w:rPr>
            </w:pPr>
            <w:r w:rsidRPr="00083789">
              <w:rPr>
                <w:b/>
                <w:bCs/>
                <w:color w:val="000000" w:themeColor="text1"/>
                <w:spacing w:val="-2"/>
                <w:sz w:val="16"/>
                <w:szCs w:val="16"/>
              </w:rPr>
              <w:t>P-value</w:t>
            </w:r>
          </w:p>
        </w:tc>
      </w:tr>
      <w:tr w:rsidR="00191ABF" w:rsidRPr="0050243A" w14:paraId="6122402A" w14:textId="77777777" w:rsidTr="00083789">
        <w:trPr>
          <w:trHeight w:val="259"/>
        </w:trPr>
        <w:tc>
          <w:tcPr>
            <w:tcW w:w="1167" w:type="dxa"/>
          </w:tcPr>
          <w:p w14:paraId="3C507046"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Intercept</w:t>
            </w:r>
          </w:p>
        </w:tc>
        <w:tc>
          <w:tcPr>
            <w:tcW w:w="891" w:type="dxa"/>
          </w:tcPr>
          <w:p w14:paraId="74EFF2CF"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-0.1570</w:t>
            </w:r>
          </w:p>
        </w:tc>
        <w:tc>
          <w:tcPr>
            <w:tcW w:w="912" w:type="dxa"/>
          </w:tcPr>
          <w:p w14:paraId="3442F70C"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0.0033</w:t>
            </w:r>
          </w:p>
        </w:tc>
        <w:tc>
          <w:tcPr>
            <w:tcW w:w="810" w:type="dxa"/>
          </w:tcPr>
          <w:p w14:paraId="080C46FA"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-47.576</w:t>
            </w:r>
          </w:p>
        </w:tc>
        <w:tc>
          <w:tcPr>
            <w:tcW w:w="794" w:type="dxa"/>
          </w:tcPr>
          <w:p w14:paraId="5A0BA076"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0.000***</w:t>
            </w:r>
          </w:p>
        </w:tc>
        <w:tc>
          <w:tcPr>
            <w:tcW w:w="902" w:type="dxa"/>
          </w:tcPr>
          <w:p w14:paraId="0B17BF30"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-0.5385</w:t>
            </w:r>
          </w:p>
        </w:tc>
        <w:tc>
          <w:tcPr>
            <w:tcW w:w="912" w:type="dxa"/>
          </w:tcPr>
          <w:p w14:paraId="290E52A1"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0.0141</w:t>
            </w:r>
          </w:p>
        </w:tc>
        <w:tc>
          <w:tcPr>
            <w:tcW w:w="758" w:type="dxa"/>
          </w:tcPr>
          <w:p w14:paraId="2584BB30"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-38.19</w:t>
            </w:r>
          </w:p>
        </w:tc>
        <w:tc>
          <w:tcPr>
            <w:tcW w:w="793" w:type="dxa"/>
          </w:tcPr>
          <w:p w14:paraId="700DEBF6"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0.000***</w:t>
            </w:r>
          </w:p>
        </w:tc>
      </w:tr>
      <w:tr w:rsidR="00191ABF" w:rsidRPr="0050243A" w14:paraId="14B4B645" w14:textId="77777777" w:rsidTr="00083789">
        <w:trPr>
          <w:trHeight w:val="259"/>
        </w:trPr>
        <w:tc>
          <w:tcPr>
            <w:tcW w:w="1167" w:type="dxa"/>
            <w:shd w:val="clear" w:color="auto" w:fill="FFFFFF"/>
          </w:tcPr>
          <w:p w14:paraId="7A047893"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Remittance</w:t>
            </w:r>
          </w:p>
        </w:tc>
        <w:tc>
          <w:tcPr>
            <w:tcW w:w="891" w:type="dxa"/>
            <w:shd w:val="clear" w:color="auto" w:fill="F1F1F1"/>
          </w:tcPr>
          <w:p w14:paraId="1892A022"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1.7545</w:t>
            </w:r>
          </w:p>
        </w:tc>
        <w:tc>
          <w:tcPr>
            <w:tcW w:w="912" w:type="dxa"/>
            <w:shd w:val="clear" w:color="auto" w:fill="F1F1F1"/>
          </w:tcPr>
          <w:p w14:paraId="4C15EE39"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-0.6683</w:t>
            </w:r>
          </w:p>
        </w:tc>
        <w:tc>
          <w:tcPr>
            <w:tcW w:w="810" w:type="dxa"/>
            <w:shd w:val="clear" w:color="auto" w:fill="F1F1F1"/>
          </w:tcPr>
          <w:p w14:paraId="0060F18E"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-2.625</w:t>
            </w:r>
          </w:p>
        </w:tc>
        <w:tc>
          <w:tcPr>
            <w:tcW w:w="794" w:type="dxa"/>
            <w:shd w:val="clear" w:color="auto" w:fill="F1F1F1"/>
          </w:tcPr>
          <w:p w14:paraId="221F76D5"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0.008**</w:t>
            </w:r>
          </w:p>
        </w:tc>
        <w:tc>
          <w:tcPr>
            <w:tcW w:w="902" w:type="dxa"/>
            <w:shd w:val="clear" w:color="auto" w:fill="F1F1F1"/>
          </w:tcPr>
          <w:p w14:paraId="2C1E7D3B"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13.5300</w:t>
            </w:r>
          </w:p>
        </w:tc>
        <w:tc>
          <w:tcPr>
            <w:tcW w:w="912" w:type="dxa"/>
            <w:shd w:val="clear" w:color="auto" w:fill="F1F1F1"/>
          </w:tcPr>
          <w:p w14:paraId="28B71CF9"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-0.5438</w:t>
            </w:r>
          </w:p>
        </w:tc>
        <w:tc>
          <w:tcPr>
            <w:tcW w:w="758" w:type="dxa"/>
            <w:shd w:val="clear" w:color="auto" w:fill="F1F1F1"/>
          </w:tcPr>
          <w:p w14:paraId="13DF3C73"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-24.88</w:t>
            </w:r>
          </w:p>
        </w:tc>
        <w:tc>
          <w:tcPr>
            <w:tcW w:w="793" w:type="dxa"/>
            <w:shd w:val="clear" w:color="auto" w:fill="F1F1F1"/>
          </w:tcPr>
          <w:p w14:paraId="761EBFE5"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0.000***</w:t>
            </w:r>
          </w:p>
        </w:tc>
      </w:tr>
      <w:tr w:rsidR="00191ABF" w:rsidRPr="0050243A" w14:paraId="1B183244" w14:textId="77777777" w:rsidTr="00083789">
        <w:trPr>
          <w:trHeight w:val="261"/>
        </w:trPr>
        <w:tc>
          <w:tcPr>
            <w:tcW w:w="1167" w:type="dxa"/>
          </w:tcPr>
          <w:p w14:paraId="73C13521"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GDP_PC</w:t>
            </w:r>
          </w:p>
        </w:tc>
        <w:tc>
          <w:tcPr>
            <w:tcW w:w="891" w:type="dxa"/>
          </w:tcPr>
          <w:p w14:paraId="56201871"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-44.183</w:t>
            </w:r>
          </w:p>
        </w:tc>
        <w:tc>
          <w:tcPr>
            <w:tcW w:w="912" w:type="dxa"/>
          </w:tcPr>
          <w:p w14:paraId="28567ECB"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78.1390</w:t>
            </w:r>
          </w:p>
        </w:tc>
        <w:tc>
          <w:tcPr>
            <w:tcW w:w="810" w:type="dxa"/>
          </w:tcPr>
          <w:p w14:paraId="194B0020"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-0.565</w:t>
            </w:r>
          </w:p>
        </w:tc>
        <w:tc>
          <w:tcPr>
            <w:tcW w:w="794" w:type="dxa"/>
          </w:tcPr>
          <w:p w14:paraId="6D507EF3"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0.518</w:t>
            </w:r>
          </w:p>
        </w:tc>
        <w:tc>
          <w:tcPr>
            <w:tcW w:w="902" w:type="dxa"/>
          </w:tcPr>
          <w:p w14:paraId="44231A60"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-1823.6</w:t>
            </w:r>
          </w:p>
        </w:tc>
        <w:tc>
          <w:tcPr>
            <w:tcW w:w="912" w:type="dxa"/>
          </w:tcPr>
          <w:p w14:paraId="11B7B682"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118.127</w:t>
            </w:r>
          </w:p>
        </w:tc>
        <w:tc>
          <w:tcPr>
            <w:tcW w:w="758" w:type="dxa"/>
          </w:tcPr>
          <w:p w14:paraId="4FE166B4"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-15.43</w:t>
            </w:r>
          </w:p>
        </w:tc>
        <w:tc>
          <w:tcPr>
            <w:tcW w:w="793" w:type="dxa"/>
          </w:tcPr>
          <w:p w14:paraId="152DDA30"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0.000***</w:t>
            </w:r>
          </w:p>
        </w:tc>
      </w:tr>
      <w:tr w:rsidR="00191ABF" w:rsidRPr="0050243A" w14:paraId="1C6AB60F" w14:textId="77777777" w:rsidTr="00083789">
        <w:trPr>
          <w:trHeight w:val="259"/>
        </w:trPr>
        <w:tc>
          <w:tcPr>
            <w:tcW w:w="1167" w:type="dxa"/>
            <w:shd w:val="clear" w:color="auto" w:fill="F1F1F1"/>
          </w:tcPr>
          <w:p w14:paraId="0A4D117B" w14:textId="77777777" w:rsidR="00191ABF" w:rsidRPr="00083789" w:rsidRDefault="00191ABF" w:rsidP="008546EF">
            <w:pPr>
              <w:pStyle w:val="TableParagraph"/>
              <w:ind w:right="78"/>
              <w:rPr>
                <w:color w:val="000000" w:themeColor="text1"/>
                <w:sz w:val="16"/>
                <w:szCs w:val="16"/>
              </w:rPr>
            </w:pPr>
            <w:proofErr w:type="spellStart"/>
            <w:r w:rsidRPr="00083789">
              <w:rPr>
                <w:color w:val="000000" w:themeColor="text1"/>
                <w:spacing w:val="-2"/>
                <w:sz w:val="16"/>
                <w:szCs w:val="16"/>
              </w:rPr>
              <w:t>Unem_R</w:t>
            </w:r>
            <w:proofErr w:type="spellEnd"/>
          </w:p>
        </w:tc>
        <w:tc>
          <w:tcPr>
            <w:tcW w:w="891" w:type="dxa"/>
            <w:shd w:val="clear" w:color="auto" w:fill="F1F1F1"/>
          </w:tcPr>
          <w:p w14:paraId="49A446B1"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0.6672</w:t>
            </w:r>
          </w:p>
        </w:tc>
        <w:tc>
          <w:tcPr>
            <w:tcW w:w="912" w:type="dxa"/>
            <w:shd w:val="clear" w:color="auto" w:fill="F1F1F1"/>
          </w:tcPr>
          <w:p w14:paraId="3E38D82E"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0.2864</w:t>
            </w:r>
          </w:p>
        </w:tc>
        <w:tc>
          <w:tcPr>
            <w:tcW w:w="810" w:type="dxa"/>
            <w:shd w:val="clear" w:color="auto" w:fill="F1F1F1"/>
          </w:tcPr>
          <w:p w14:paraId="25CA3B6C"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2.329</w:t>
            </w:r>
          </w:p>
        </w:tc>
        <w:tc>
          <w:tcPr>
            <w:tcW w:w="794" w:type="dxa"/>
            <w:shd w:val="clear" w:color="auto" w:fill="F1F1F1"/>
          </w:tcPr>
          <w:p w14:paraId="5A56687D"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0.0198*</w:t>
            </w:r>
          </w:p>
        </w:tc>
        <w:tc>
          <w:tcPr>
            <w:tcW w:w="902" w:type="dxa"/>
            <w:shd w:val="clear" w:color="auto" w:fill="F1F1F1"/>
          </w:tcPr>
          <w:p w14:paraId="3FF35D79"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-1.5345</w:t>
            </w:r>
          </w:p>
        </w:tc>
        <w:tc>
          <w:tcPr>
            <w:tcW w:w="912" w:type="dxa"/>
            <w:shd w:val="clear" w:color="auto" w:fill="F1F1F1"/>
          </w:tcPr>
          <w:p w14:paraId="7655D188"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0.8496</w:t>
            </w:r>
          </w:p>
        </w:tc>
        <w:tc>
          <w:tcPr>
            <w:tcW w:w="758" w:type="dxa"/>
            <w:shd w:val="clear" w:color="auto" w:fill="F1F1F1"/>
          </w:tcPr>
          <w:p w14:paraId="555441CB"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-1.806</w:t>
            </w:r>
          </w:p>
        </w:tc>
        <w:tc>
          <w:tcPr>
            <w:tcW w:w="793" w:type="dxa"/>
            <w:shd w:val="clear" w:color="auto" w:fill="F1F1F1"/>
          </w:tcPr>
          <w:p w14:paraId="1C6CFE76"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0.071</w:t>
            </w:r>
          </w:p>
        </w:tc>
      </w:tr>
      <w:tr w:rsidR="00191ABF" w:rsidRPr="0050243A" w14:paraId="3B8FDC3D" w14:textId="77777777" w:rsidTr="00083789">
        <w:trPr>
          <w:trHeight w:val="260"/>
        </w:trPr>
        <w:tc>
          <w:tcPr>
            <w:tcW w:w="1167" w:type="dxa"/>
          </w:tcPr>
          <w:p w14:paraId="44D711F9"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Exchange</w:t>
            </w:r>
          </w:p>
        </w:tc>
        <w:tc>
          <w:tcPr>
            <w:tcW w:w="891" w:type="dxa"/>
          </w:tcPr>
          <w:p w14:paraId="09D963F6"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0.2030</w:t>
            </w:r>
          </w:p>
        </w:tc>
        <w:tc>
          <w:tcPr>
            <w:tcW w:w="912" w:type="dxa"/>
          </w:tcPr>
          <w:p w14:paraId="73DC9A6C"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-7.4452</w:t>
            </w:r>
          </w:p>
        </w:tc>
        <w:tc>
          <w:tcPr>
            <w:tcW w:w="810" w:type="dxa"/>
          </w:tcPr>
          <w:p w14:paraId="711D1B11"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-0.027</w:t>
            </w:r>
          </w:p>
        </w:tc>
        <w:tc>
          <w:tcPr>
            <w:tcW w:w="794" w:type="dxa"/>
          </w:tcPr>
          <w:p w14:paraId="04A44281"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0.9782</w:t>
            </w:r>
          </w:p>
        </w:tc>
        <w:tc>
          <w:tcPr>
            <w:tcW w:w="902" w:type="dxa"/>
          </w:tcPr>
          <w:p w14:paraId="2C9814EC"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33.6518</w:t>
            </w:r>
          </w:p>
        </w:tc>
        <w:tc>
          <w:tcPr>
            <w:tcW w:w="912" w:type="dxa"/>
          </w:tcPr>
          <w:p w14:paraId="61677534"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-5.1365</w:t>
            </w:r>
          </w:p>
        </w:tc>
        <w:tc>
          <w:tcPr>
            <w:tcW w:w="758" w:type="dxa"/>
          </w:tcPr>
          <w:p w14:paraId="59083311"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-6.551</w:t>
            </w:r>
          </w:p>
        </w:tc>
        <w:tc>
          <w:tcPr>
            <w:tcW w:w="793" w:type="dxa"/>
          </w:tcPr>
          <w:p w14:paraId="2A9BF196"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0.000***</w:t>
            </w:r>
          </w:p>
        </w:tc>
      </w:tr>
      <w:tr w:rsidR="00191ABF" w:rsidRPr="0050243A" w14:paraId="0161A13B" w14:textId="77777777" w:rsidTr="00083789">
        <w:trPr>
          <w:trHeight w:val="259"/>
        </w:trPr>
        <w:tc>
          <w:tcPr>
            <w:tcW w:w="1167" w:type="dxa"/>
            <w:shd w:val="clear" w:color="auto" w:fill="F1F1F1"/>
          </w:tcPr>
          <w:p w14:paraId="1900D459"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Inflation</w:t>
            </w:r>
          </w:p>
        </w:tc>
        <w:tc>
          <w:tcPr>
            <w:tcW w:w="891" w:type="dxa"/>
            <w:shd w:val="clear" w:color="auto" w:fill="F1F1F1"/>
          </w:tcPr>
          <w:p w14:paraId="4FDF190C"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2.0964</w:t>
            </w:r>
          </w:p>
        </w:tc>
        <w:tc>
          <w:tcPr>
            <w:tcW w:w="912" w:type="dxa"/>
            <w:shd w:val="clear" w:color="auto" w:fill="F1F1F1"/>
          </w:tcPr>
          <w:p w14:paraId="3CD0BC79"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-0.0834</w:t>
            </w:r>
          </w:p>
        </w:tc>
        <w:tc>
          <w:tcPr>
            <w:tcW w:w="810" w:type="dxa"/>
            <w:shd w:val="clear" w:color="auto" w:fill="F1F1F1"/>
          </w:tcPr>
          <w:p w14:paraId="2EDB4301"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-25.133</w:t>
            </w:r>
          </w:p>
        </w:tc>
        <w:tc>
          <w:tcPr>
            <w:tcW w:w="794" w:type="dxa"/>
            <w:shd w:val="clear" w:color="auto" w:fill="F1F1F1"/>
          </w:tcPr>
          <w:p w14:paraId="2CA6370F"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0.000***</w:t>
            </w:r>
          </w:p>
        </w:tc>
        <w:tc>
          <w:tcPr>
            <w:tcW w:w="902" w:type="dxa"/>
            <w:shd w:val="clear" w:color="auto" w:fill="F1F1F1"/>
          </w:tcPr>
          <w:p w14:paraId="7F9B0F0A"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-120.28</w:t>
            </w:r>
          </w:p>
        </w:tc>
        <w:tc>
          <w:tcPr>
            <w:tcW w:w="912" w:type="dxa"/>
            <w:shd w:val="clear" w:color="auto" w:fill="F1F1F1"/>
          </w:tcPr>
          <w:p w14:paraId="7A9CF59B"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9.3497</w:t>
            </w:r>
          </w:p>
        </w:tc>
        <w:tc>
          <w:tcPr>
            <w:tcW w:w="758" w:type="dxa"/>
            <w:shd w:val="clear" w:color="auto" w:fill="F1F1F1"/>
          </w:tcPr>
          <w:p w14:paraId="728728A0"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-12.86</w:t>
            </w:r>
          </w:p>
        </w:tc>
        <w:tc>
          <w:tcPr>
            <w:tcW w:w="793" w:type="dxa"/>
            <w:shd w:val="clear" w:color="auto" w:fill="F1F1F1"/>
          </w:tcPr>
          <w:p w14:paraId="462E82ED"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0.000***</w:t>
            </w:r>
          </w:p>
        </w:tc>
      </w:tr>
      <w:tr w:rsidR="00191ABF" w:rsidRPr="0050243A" w14:paraId="53B318CF" w14:textId="77777777" w:rsidTr="00083789">
        <w:trPr>
          <w:trHeight w:val="259"/>
        </w:trPr>
        <w:tc>
          <w:tcPr>
            <w:tcW w:w="1167" w:type="dxa"/>
          </w:tcPr>
          <w:p w14:paraId="197313D3" w14:textId="77777777" w:rsidR="00191ABF" w:rsidRPr="00083789" w:rsidRDefault="00191ABF" w:rsidP="008546EF">
            <w:pPr>
              <w:pStyle w:val="TableParagraph"/>
              <w:ind w:right="78"/>
              <w:rPr>
                <w:color w:val="000000" w:themeColor="text1"/>
                <w:sz w:val="16"/>
                <w:szCs w:val="16"/>
              </w:rPr>
            </w:pPr>
            <w:proofErr w:type="spellStart"/>
            <w:r w:rsidRPr="00083789">
              <w:rPr>
                <w:color w:val="000000" w:themeColor="text1"/>
                <w:spacing w:val="-2"/>
                <w:sz w:val="16"/>
                <w:szCs w:val="16"/>
              </w:rPr>
              <w:t>Lending_IR</w:t>
            </w:r>
            <w:proofErr w:type="spellEnd"/>
          </w:p>
        </w:tc>
        <w:tc>
          <w:tcPr>
            <w:tcW w:w="891" w:type="dxa"/>
          </w:tcPr>
          <w:p w14:paraId="6ECC52C1"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1.1395</w:t>
            </w:r>
          </w:p>
        </w:tc>
        <w:tc>
          <w:tcPr>
            <w:tcW w:w="912" w:type="dxa"/>
          </w:tcPr>
          <w:p w14:paraId="2F8F97EF"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-0.6078</w:t>
            </w:r>
          </w:p>
        </w:tc>
        <w:tc>
          <w:tcPr>
            <w:tcW w:w="810" w:type="dxa"/>
          </w:tcPr>
          <w:p w14:paraId="32C47794"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-1.875</w:t>
            </w:r>
          </w:p>
        </w:tc>
        <w:tc>
          <w:tcPr>
            <w:tcW w:w="794" w:type="dxa"/>
          </w:tcPr>
          <w:p w14:paraId="362C34BE"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0.0608</w:t>
            </w:r>
          </w:p>
        </w:tc>
        <w:tc>
          <w:tcPr>
            <w:tcW w:w="902" w:type="dxa"/>
          </w:tcPr>
          <w:p w14:paraId="58F03DE8"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6.5086</w:t>
            </w:r>
          </w:p>
        </w:tc>
        <w:tc>
          <w:tcPr>
            <w:tcW w:w="912" w:type="dxa"/>
          </w:tcPr>
          <w:p w14:paraId="1383C1CE"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-1.1162</w:t>
            </w:r>
          </w:p>
        </w:tc>
        <w:tc>
          <w:tcPr>
            <w:tcW w:w="758" w:type="dxa"/>
          </w:tcPr>
          <w:p w14:paraId="40AEAB1E"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-5.831</w:t>
            </w:r>
          </w:p>
        </w:tc>
        <w:tc>
          <w:tcPr>
            <w:tcW w:w="793" w:type="dxa"/>
          </w:tcPr>
          <w:p w14:paraId="07E768FB"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0.000***</w:t>
            </w:r>
          </w:p>
        </w:tc>
      </w:tr>
      <w:tr w:rsidR="00191ABF" w:rsidRPr="0050243A" w14:paraId="73426508" w14:textId="77777777" w:rsidTr="00083789">
        <w:trPr>
          <w:trHeight w:val="259"/>
        </w:trPr>
        <w:tc>
          <w:tcPr>
            <w:tcW w:w="1167" w:type="dxa"/>
            <w:shd w:val="clear" w:color="auto" w:fill="F1F1F1"/>
          </w:tcPr>
          <w:p w14:paraId="18CB9CCF" w14:textId="77777777" w:rsidR="00191ABF" w:rsidRPr="00083789" w:rsidRDefault="00191ABF" w:rsidP="008546EF">
            <w:pPr>
              <w:pStyle w:val="TableParagraph"/>
              <w:ind w:right="78"/>
              <w:rPr>
                <w:color w:val="000000" w:themeColor="text1"/>
                <w:sz w:val="16"/>
                <w:szCs w:val="16"/>
              </w:rPr>
            </w:pPr>
            <w:proofErr w:type="spellStart"/>
            <w:r w:rsidRPr="00083789">
              <w:rPr>
                <w:color w:val="000000" w:themeColor="text1"/>
                <w:spacing w:val="-2"/>
                <w:sz w:val="16"/>
                <w:szCs w:val="16"/>
              </w:rPr>
              <w:t>Interest_RS</w:t>
            </w:r>
            <w:proofErr w:type="spellEnd"/>
          </w:p>
        </w:tc>
        <w:tc>
          <w:tcPr>
            <w:tcW w:w="891" w:type="dxa"/>
            <w:shd w:val="clear" w:color="auto" w:fill="F1F1F1"/>
          </w:tcPr>
          <w:p w14:paraId="564B8258"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2.3140</w:t>
            </w:r>
          </w:p>
        </w:tc>
        <w:tc>
          <w:tcPr>
            <w:tcW w:w="912" w:type="dxa"/>
            <w:shd w:val="clear" w:color="auto" w:fill="F1F1F1"/>
          </w:tcPr>
          <w:p w14:paraId="29D45F4F"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-0.9450</w:t>
            </w:r>
          </w:p>
        </w:tc>
        <w:tc>
          <w:tcPr>
            <w:tcW w:w="810" w:type="dxa"/>
            <w:shd w:val="clear" w:color="auto" w:fill="F1F1F1"/>
          </w:tcPr>
          <w:p w14:paraId="53591E68"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-2.449</w:t>
            </w:r>
          </w:p>
        </w:tc>
        <w:tc>
          <w:tcPr>
            <w:tcW w:w="794" w:type="dxa"/>
            <w:shd w:val="clear" w:color="auto" w:fill="F1F1F1"/>
          </w:tcPr>
          <w:p w14:paraId="1CF06B47"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0.014*</w:t>
            </w:r>
          </w:p>
        </w:tc>
        <w:tc>
          <w:tcPr>
            <w:tcW w:w="902" w:type="dxa"/>
            <w:shd w:val="clear" w:color="auto" w:fill="F1F1F1"/>
          </w:tcPr>
          <w:p w14:paraId="4E50410F"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-5.5908</w:t>
            </w:r>
          </w:p>
        </w:tc>
        <w:tc>
          <w:tcPr>
            <w:tcW w:w="912" w:type="dxa"/>
            <w:shd w:val="clear" w:color="auto" w:fill="F1F1F1"/>
          </w:tcPr>
          <w:p w14:paraId="77DCB41D"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-0.0565</w:t>
            </w:r>
          </w:p>
        </w:tc>
        <w:tc>
          <w:tcPr>
            <w:tcW w:w="758" w:type="dxa"/>
            <w:shd w:val="clear" w:color="auto" w:fill="F1F1F1"/>
          </w:tcPr>
          <w:p w14:paraId="68F6AA4E"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98.935</w:t>
            </w:r>
          </w:p>
        </w:tc>
        <w:tc>
          <w:tcPr>
            <w:tcW w:w="793" w:type="dxa"/>
            <w:shd w:val="clear" w:color="auto" w:fill="F1F1F1"/>
          </w:tcPr>
          <w:p w14:paraId="59F05038"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0.000***</w:t>
            </w:r>
          </w:p>
        </w:tc>
      </w:tr>
      <w:tr w:rsidR="00191ABF" w:rsidRPr="0050243A" w14:paraId="262053A0" w14:textId="77777777" w:rsidTr="00083789">
        <w:trPr>
          <w:trHeight w:val="261"/>
        </w:trPr>
        <w:tc>
          <w:tcPr>
            <w:tcW w:w="1167" w:type="dxa"/>
          </w:tcPr>
          <w:p w14:paraId="552AEB4D"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Political</w:t>
            </w:r>
          </w:p>
        </w:tc>
        <w:tc>
          <w:tcPr>
            <w:tcW w:w="891" w:type="dxa"/>
          </w:tcPr>
          <w:p w14:paraId="6A91CB80"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-0.6443</w:t>
            </w:r>
          </w:p>
        </w:tc>
        <w:tc>
          <w:tcPr>
            <w:tcW w:w="912" w:type="dxa"/>
          </w:tcPr>
          <w:p w14:paraId="7638E83B"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0.2318</w:t>
            </w:r>
          </w:p>
        </w:tc>
        <w:tc>
          <w:tcPr>
            <w:tcW w:w="810" w:type="dxa"/>
          </w:tcPr>
          <w:p w14:paraId="00320D82"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-2.780</w:t>
            </w:r>
          </w:p>
        </w:tc>
        <w:tc>
          <w:tcPr>
            <w:tcW w:w="794" w:type="dxa"/>
          </w:tcPr>
          <w:p w14:paraId="1B3CE143"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0.0054</w:t>
            </w:r>
          </w:p>
        </w:tc>
        <w:tc>
          <w:tcPr>
            <w:tcW w:w="902" w:type="dxa"/>
          </w:tcPr>
          <w:p w14:paraId="099A8131"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1.5127</w:t>
            </w:r>
          </w:p>
        </w:tc>
        <w:tc>
          <w:tcPr>
            <w:tcW w:w="912" w:type="dxa"/>
          </w:tcPr>
          <w:p w14:paraId="075AD8FF"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-0.2230</w:t>
            </w:r>
          </w:p>
        </w:tc>
        <w:tc>
          <w:tcPr>
            <w:tcW w:w="758" w:type="dxa"/>
          </w:tcPr>
          <w:p w14:paraId="434357D9"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-6.782</w:t>
            </w:r>
          </w:p>
        </w:tc>
        <w:tc>
          <w:tcPr>
            <w:tcW w:w="793" w:type="dxa"/>
          </w:tcPr>
          <w:p w14:paraId="098DF5EE"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0.000***</w:t>
            </w:r>
          </w:p>
        </w:tc>
      </w:tr>
      <w:tr w:rsidR="00191ABF" w:rsidRPr="0050243A" w14:paraId="093E8B6D" w14:textId="77777777" w:rsidTr="00083789">
        <w:trPr>
          <w:trHeight w:val="259"/>
        </w:trPr>
        <w:tc>
          <w:tcPr>
            <w:tcW w:w="1167" w:type="dxa"/>
            <w:shd w:val="clear" w:color="auto" w:fill="F1F1F1"/>
          </w:tcPr>
          <w:p w14:paraId="4134E263"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Corruption</w:t>
            </w:r>
          </w:p>
        </w:tc>
        <w:tc>
          <w:tcPr>
            <w:tcW w:w="891" w:type="dxa"/>
            <w:shd w:val="clear" w:color="auto" w:fill="F1F1F1"/>
          </w:tcPr>
          <w:p w14:paraId="24DDD1D3"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-0.2995</w:t>
            </w:r>
          </w:p>
        </w:tc>
        <w:tc>
          <w:tcPr>
            <w:tcW w:w="912" w:type="dxa"/>
            <w:shd w:val="clear" w:color="auto" w:fill="F1F1F1"/>
          </w:tcPr>
          <w:p w14:paraId="6CC747AB"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-0.1465</w:t>
            </w:r>
          </w:p>
        </w:tc>
        <w:tc>
          <w:tcPr>
            <w:tcW w:w="810" w:type="dxa"/>
            <w:shd w:val="clear" w:color="auto" w:fill="F1F1F1"/>
          </w:tcPr>
          <w:p w14:paraId="341557EB"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2.043</w:t>
            </w:r>
          </w:p>
        </w:tc>
        <w:tc>
          <w:tcPr>
            <w:tcW w:w="794" w:type="dxa"/>
            <w:shd w:val="clear" w:color="auto" w:fill="F1F1F1"/>
          </w:tcPr>
          <w:p w14:paraId="31DAA252"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0.041*</w:t>
            </w:r>
          </w:p>
        </w:tc>
        <w:tc>
          <w:tcPr>
            <w:tcW w:w="902" w:type="dxa"/>
            <w:shd w:val="clear" w:color="auto" w:fill="F1F1F1"/>
          </w:tcPr>
          <w:p w14:paraId="2B91F65D"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-0.1419</w:t>
            </w:r>
          </w:p>
        </w:tc>
        <w:tc>
          <w:tcPr>
            <w:tcW w:w="912" w:type="dxa"/>
            <w:shd w:val="clear" w:color="auto" w:fill="F1F1F1"/>
          </w:tcPr>
          <w:p w14:paraId="19A507B5"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0.0276</w:t>
            </w:r>
          </w:p>
        </w:tc>
        <w:tc>
          <w:tcPr>
            <w:tcW w:w="758" w:type="dxa"/>
            <w:shd w:val="clear" w:color="auto" w:fill="F1F1F1"/>
          </w:tcPr>
          <w:p w14:paraId="6B256DE3"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-5.134</w:t>
            </w:r>
          </w:p>
        </w:tc>
        <w:tc>
          <w:tcPr>
            <w:tcW w:w="793" w:type="dxa"/>
            <w:shd w:val="clear" w:color="auto" w:fill="F1F1F1"/>
          </w:tcPr>
          <w:p w14:paraId="15F59414"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0.000***</w:t>
            </w:r>
          </w:p>
        </w:tc>
      </w:tr>
      <w:tr w:rsidR="00191ABF" w:rsidRPr="0050243A" w14:paraId="1565FD34" w14:textId="77777777" w:rsidTr="00083789">
        <w:trPr>
          <w:trHeight w:val="259"/>
        </w:trPr>
        <w:tc>
          <w:tcPr>
            <w:tcW w:w="1167" w:type="dxa"/>
          </w:tcPr>
          <w:p w14:paraId="3F778500" w14:textId="77777777" w:rsidR="00191ABF" w:rsidRPr="00083789" w:rsidRDefault="00191ABF" w:rsidP="008546EF">
            <w:pPr>
              <w:pStyle w:val="TableParagraph"/>
              <w:ind w:right="78"/>
              <w:rPr>
                <w:color w:val="000000" w:themeColor="text1"/>
                <w:sz w:val="16"/>
                <w:szCs w:val="16"/>
              </w:rPr>
            </w:pPr>
            <w:proofErr w:type="spellStart"/>
            <w:r w:rsidRPr="00083789">
              <w:rPr>
                <w:color w:val="000000" w:themeColor="text1"/>
                <w:spacing w:val="-2"/>
                <w:sz w:val="16"/>
                <w:szCs w:val="16"/>
              </w:rPr>
              <w:t>Govt_effect</w:t>
            </w:r>
            <w:proofErr w:type="spellEnd"/>
          </w:p>
        </w:tc>
        <w:tc>
          <w:tcPr>
            <w:tcW w:w="891" w:type="dxa"/>
          </w:tcPr>
          <w:p w14:paraId="673637E0"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-0.1570</w:t>
            </w:r>
          </w:p>
        </w:tc>
        <w:tc>
          <w:tcPr>
            <w:tcW w:w="912" w:type="dxa"/>
          </w:tcPr>
          <w:p w14:paraId="260A7547"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0.0359</w:t>
            </w:r>
          </w:p>
        </w:tc>
        <w:tc>
          <w:tcPr>
            <w:tcW w:w="810" w:type="dxa"/>
          </w:tcPr>
          <w:p w14:paraId="7A41E3A8"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-4.367</w:t>
            </w:r>
          </w:p>
        </w:tc>
        <w:tc>
          <w:tcPr>
            <w:tcW w:w="794" w:type="dxa"/>
          </w:tcPr>
          <w:p w14:paraId="4CC78D15"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0.000***</w:t>
            </w:r>
          </w:p>
        </w:tc>
        <w:tc>
          <w:tcPr>
            <w:tcW w:w="902" w:type="dxa"/>
          </w:tcPr>
          <w:p w14:paraId="1E7C2B95"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-0.5385</w:t>
            </w:r>
          </w:p>
        </w:tc>
        <w:tc>
          <w:tcPr>
            <w:tcW w:w="912" w:type="dxa"/>
          </w:tcPr>
          <w:p w14:paraId="1CA0BB83"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0.0292</w:t>
            </w:r>
          </w:p>
        </w:tc>
        <w:tc>
          <w:tcPr>
            <w:tcW w:w="758" w:type="dxa"/>
          </w:tcPr>
          <w:p w14:paraId="5D4655E6"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-18.42</w:t>
            </w:r>
          </w:p>
        </w:tc>
        <w:tc>
          <w:tcPr>
            <w:tcW w:w="793" w:type="dxa"/>
          </w:tcPr>
          <w:p w14:paraId="6E5A3311"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0.000***</w:t>
            </w:r>
          </w:p>
        </w:tc>
      </w:tr>
      <w:tr w:rsidR="00191ABF" w:rsidRPr="0050243A" w14:paraId="30FB3348" w14:textId="77777777" w:rsidTr="00083789">
        <w:trPr>
          <w:trHeight w:val="259"/>
        </w:trPr>
        <w:tc>
          <w:tcPr>
            <w:tcW w:w="1167" w:type="dxa"/>
            <w:shd w:val="clear" w:color="auto" w:fill="F1F1F1"/>
          </w:tcPr>
          <w:p w14:paraId="04AF6845"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Overseas</w:t>
            </w:r>
          </w:p>
        </w:tc>
        <w:tc>
          <w:tcPr>
            <w:tcW w:w="891" w:type="dxa"/>
            <w:shd w:val="clear" w:color="auto" w:fill="F1F1F1"/>
          </w:tcPr>
          <w:p w14:paraId="583FD144"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0.3767</w:t>
            </w:r>
          </w:p>
        </w:tc>
        <w:tc>
          <w:tcPr>
            <w:tcW w:w="912" w:type="dxa"/>
            <w:shd w:val="clear" w:color="auto" w:fill="F1F1F1"/>
          </w:tcPr>
          <w:p w14:paraId="234C125E"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-0.1240</w:t>
            </w:r>
          </w:p>
        </w:tc>
        <w:tc>
          <w:tcPr>
            <w:tcW w:w="810" w:type="dxa"/>
            <w:shd w:val="clear" w:color="auto" w:fill="F1F1F1"/>
          </w:tcPr>
          <w:p w14:paraId="386972DF"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-3.037</w:t>
            </w:r>
          </w:p>
        </w:tc>
        <w:tc>
          <w:tcPr>
            <w:tcW w:w="794" w:type="dxa"/>
            <w:shd w:val="clear" w:color="auto" w:fill="F1F1F1"/>
          </w:tcPr>
          <w:p w14:paraId="40689CDE"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0.003**</w:t>
            </w:r>
          </w:p>
        </w:tc>
        <w:tc>
          <w:tcPr>
            <w:tcW w:w="902" w:type="dxa"/>
            <w:shd w:val="clear" w:color="auto" w:fill="F1F1F1"/>
          </w:tcPr>
          <w:p w14:paraId="0856D1E9"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-0.7914</w:t>
            </w:r>
          </w:p>
        </w:tc>
        <w:tc>
          <w:tcPr>
            <w:tcW w:w="912" w:type="dxa"/>
            <w:shd w:val="clear" w:color="auto" w:fill="F1F1F1"/>
          </w:tcPr>
          <w:p w14:paraId="05BF8248"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-0.2713</w:t>
            </w:r>
          </w:p>
        </w:tc>
        <w:tc>
          <w:tcPr>
            <w:tcW w:w="758" w:type="dxa"/>
            <w:shd w:val="clear" w:color="auto" w:fill="F1F1F1"/>
          </w:tcPr>
          <w:p w14:paraId="1EF5C532"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2.917</w:t>
            </w:r>
          </w:p>
        </w:tc>
        <w:tc>
          <w:tcPr>
            <w:tcW w:w="793" w:type="dxa"/>
            <w:shd w:val="clear" w:color="auto" w:fill="F1F1F1"/>
          </w:tcPr>
          <w:p w14:paraId="559ADC1D" w14:textId="77777777" w:rsidR="00191ABF" w:rsidRPr="00083789" w:rsidRDefault="00191ABF" w:rsidP="008546EF">
            <w:pPr>
              <w:pStyle w:val="TableParagraph"/>
              <w:ind w:right="78"/>
              <w:rPr>
                <w:color w:val="000000" w:themeColor="text1"/>
                <w:sz w:val="16"/>
                <w:szCs w:val="16"/>
              </w:rPr>
            </w:pPr>
            <w:r w:rsidRPr="00083789">
              <w:rPr>
                <w:color w:val="000000" w:themeColor="text1"/>
                <w:spacing w:val="-2"/>
                <w:sz w:val="16"/>
                <w:szCs w:val="16"/>
              </w:rPr>
              <w:t>0.003**</w:t>
            </w:r>
          </w:p>
        </w:tc>
      </w:tr>
      <w:tr w:rsidR="00191ABF" w:rsidRPr="0050243A" w14:paraId="1C1B3C0D" w14:textId="77777777" w:rsidTr="00083789">
        <w:trPr>
          <w:trHeight w:val="498"/>
        </w:trPr>
        <w:tc>
          <w:tcPr>
            <w:tcW w:w="2059" w:type="dxa"/>
            <w:gridSpan w:val="2"/>
          </w:tcPr>
          <w:p w14:paraId="2FEB1677" w14:textId="77777777" w:rsidR="00191ABF" w:rsidRPr="00083789" w:rsidRDefault="00191ABF" w:rsidP="008546EF">
            <w:pPr>
              <w:pStyle w:val="TableParagraph"/>
              <w:ind w:right="78"/>
              <w:rPr>
                <w:color w:val="000000" w:themeColor="text1"/>
                <w:sz w:val="16"/>
                <w:szCs w:val="16"/>
              </w:rPr>
            </w:pPr>
            <w:r w:rsidRPr="00083789">
              <w:rPr>
                <w:color w:val="000000" w:themeColor="text1"/>
                <w:sz w:val="16"/>
                <w:szCs w:val="16"/>
              </w:rPr>
              <w:t>Model</w:t>
            </w:r>
            <w:r w:rsidRPr="00083789">
              <w:rPr>
                <w:color w:val="000000" w:themeColor="text1"/>
                <w:spacing w:val="-2"/>
                <w:sz w:val="16"/>
                <w:szCs w:val="16"/>
              </w:rPr>
              <w:t xml:space="preserve"> Performance</w:t>
            </w:r>
          </w:p>
        </w:tc>
        <w:tc>
          <w:tcPr>
            <w:tcW w:w="5885" w:type="dxa"/>
            <w:gridSpan w:val="7"/>
          </w:tcPr>
          <w:p w14:paraId="68C9ADBE" w14:textId="77777777" w:rsidR="00191ABF" w:rsidRPr="00083789" w:rsidRDefault="00191ABF" w:rsidP="008546EF">
            <w:pPr>
              <w:pStyle w:val="TableParagraph"/>
              <w:ind w:right="78"/>
              <w:rPr>
                <w:color w:val="000000" w:themeColor="text1"/>
                <w:sz w:val="16"/>
                <w:szCs w:val="16"/>
              </w:rPr>
            </w:pPr>
            <w:r w:rsidRPr="00083789">
              <w:rPr>
                <w:color w:val="000000" w:themeColor="text1"/>
                <w:sz w:val="16"/>
                <w:szCs w:val="16"/>
              </w:rPr>
              <w:t>R-squared=</w:t>
            </w:r>
            <w:r w:rsidRPr="00083789">
              <w:rPr>
                <w:color w:val="000000" w:themeColor="text1"/>
                <w:spacing w:val="-14"/>
                <w:sz w:val="16"/>
                <w:szCs w:val="16"/>
              </w:rPr>
              <w:t xml:space="preserve"> </w:t>
            </w:r>
            <w:r w:rsidRPr="00083789">
              <w:rPr>
                <w:color w:val="000000" w:themeColor="text1"/>
                <w:sz w:val="16"/>
                <w:szCs w:val="16"/>
              </w:rPr>
              <w:t>0.9952;</w:t>
            </w:r>
            <w:r w:rsidRPr="00083789">
              <w:rPr>
                <w:color w:val="000000" w:themeColor="text1"/>
                <w:spacing w:val="-13"/>
                <w:sz w:val="16"/>
                <w:szCs w:val="16"/>
              </w:rPr>
              <w:t xml:space="preserve"> </w:t>
            </w:r>
            <w:r w:rsidRPr="00083789">
              <w:rPr>
                <w:color w:val="000000" w:themeColor="text1"/>
                <w:sz w:val="16"/>
                <w:szCs w:val="16"/>
              </w:rPr>
              <w:t>AIC=-9879.898;</w:t>
            </w:r>
            <w:r w:rsidRPr="00083789">
              <w:rPr>
                <w:color w:val="000000" w:themeColor="text1"/>
                <w:spacing w:val="-13"/>
                <w:sz w:val="16"/>
                <w:szCs w:val="16"/>
              </w:rPr>
              <w:t xml:space="preserve"> </w:t>
            </w:r>
            <w:r w:rsidRPr="00083789">
              <w:rPr>
                <w:color w:val="000000" w:themeColor="text1"/>
                <w:sz w:val="16"/>
                <w:szCs w:val="16"/>
              </w:rPr>
              <w:t xml:space="preserve">BIC=-9556.896; </w:t>
            </w:r>
            <w:r w:rsidRPr="00083789">
              <w:rPr>
                <w:color w:val="000000" w:themeColor="text1"/>
                <w:spacing w:val="-2"/>
                <w:sz w:val="16"/>
                <w:szCs w:val="16"/>
              </w:rPr>
              <w:t>SSR=3019.922;</w:t>
            </w:r>
          </w:p>
        </w:tc>
      </w:tr>
    </w:tbl>
    <w:p w14:paraId="5BDB7305" w14:textId="77777777" w:rsidR="00191ABF" w:rsidRPr="00083789" w:rsidRDefault="00191ABF" w:rsidP="008546EF">
      <w:pPr>
        <w:ind w:right="78"/>
        <w:rPr>
          <w:color w:val="000000" w:themeColor="text1"/>
          <w:sz w:val="16"/>
          <w:szCs w:val="16"/>
        </w:rPr>
      </w:pPr>
      <w:r w:rsidRPr="00083789">
        <w:rPr>
          <w:color w:val="000000" w:themeColor="text1"/>
          <w:sz w:val="16"/>
          <w:szCs w:val="16"/>
        </w:rPr>
        <w:t>Note:</w:t>
      </w:r>
      <w:r w:rsidRPr="00083789">
        <w:rPr>
          <w:color w:val="000000" w:themeColor="text1"/>
          <w:spacing w:val="-1"/>
          <w:sz w:val="16"/>
          <w:szCs w:val="16"/>
        </w:rPr>
        <w:t xml:space="preserve"> </w:t>
      </w:r>
      <w:r w:rsidRPr="00083789">
        <w:rPr>
          <w:color w:val="000000" w:themeColor="text1"/>
          <w:sz w:val="16"/>
          <w:szCs w:val="16"/>
        </w:rPr>
        <w:t>***;</w:t>
      </w:r>
      <w:r w:rsidRPr="00083789">
        <w:rPr>
          <w:color w:val="000000" w:themeColor="text1"/>
          <w:spacing w:val="-1"/>
          <w:sz w:val="16"/>
          <w:szCs w:val="16"/>
        </w:rPr>
        <w:t xml:space="preserve"> </w:t>
      </w:r>
      <w:r w:rsidRPr="00083789">
        <w:rPr>
          <w:color w:val="000000" w:themeColor="text1"/>
          <w:sz w:val="16"/>
          <w:szCs w:val="16"/>
        </w:rPr>
        <w:t>significant at p=0.001,</w:t>
      </w:r>
      <w:r w:rsidRPr="00083789">
        <w:rPr>
          <w:color w:val="000000" w:themeColor="text1"/>
          <w:spacing w:val="-1"/>
          <w:sz w:val="16"/>
          <w:szCs w:val="16"/>
        </w:rPr>
        <w:t xml:space="preserve"> </w:t>
      </w:r>
      <w:r w:rsidRPr="00083789">
        <w:rPr>
          <w:color w:val="000000" w:themeColor="text1"/>
          <w:sz w:val="16"/>
          <w:szCs w:val="16"/>
        </w:rPr>
        <w:t>**;</w:t>
      </w:r>
      <w:r w:rsidRPr="00083789">
        <w:rPr>
          <w:color w:val="000000" w:themeColor="text1"/>
          <w:spacing w:val="-1"/>
          <w:sz w:val="16"/>
          <w:szCs w:val="16"/>
        </w:rPr>
        <w:t xml:space="preserve"> </w:t>
      </w:r>
      <w:r w:rsidRPr="00083789">
        <w:rPr>
          <w:color w:val="000000" w:themeColor="text1"/>
          <w:sz w:val="16"/>
          <w:szCs w:val="16"/>
        </w:rPr>
        <w:t>significant</w:t>
      </w:r>
      <w:r w:rsidRPr="00083789">
        <w:rPr>
          <w:color w:val="000000" w:themeColor="text1"/>
          <w:spacing w:val="-1"/>
          <w:sz w:val="16"/>
          <w:szCs w:val="16"/>
        </w:rPr>
        <w:t xml:space="preserve"> </w:t>
      </w:r>
      <w:r w:rsidRPr="00083789">
        <w:rPr>
          <w:color w:val="000000" w:themeColor="text1"/>
          <w:sz w:val="16"/>
          <w:szCs w:val="16"/>
        </w:rPr>
        <w:t>at</w:t>
      </w:r>
      <w:r w:rsidRPr="00083789">
        <w:rPr>
          <w:color w:val="000000" w:themeColor="text1"/>
          <w:spacing w:val="-1"/>
          <w:sz w:val="16"/>
          <w:szCs w:val="16"/>
        </w:rPr>
        <w:t xml:space="preserve"> </w:t>
      </w:r>
      <w:r w:rsidRPr="00083789">
        <w:rPr>
          <w:color w:val="000000" w:themeColor="text1"/>
          <w:sz w:val="16"/>
          <w:szCs w:val="16"/>
        </w:rPr>
        <w:t>p=0.01,</w:t>
      </w:r>
      <w:r w:rsidRPr="00083789">
        <w:rPr>
          <w:color w:val="000000" w:themeColor="text1"/>
          <w:spacing w:val="-1"/>
          <w:sz w:val="16"/>
          <w:szCs w:val="16"/>
        </w:rPr>
        <w:t xml:space="preserve"> </w:t>
      </w:r>
      <w:r w:rsidRPr="00083789">
        <w:rPr>
          <w:color w:val="000000" w:themeColor="text1"/>
          <w:sz w:val="16"/>
          <w:szCs w:val="16"/>
        </w:rPr>
        <w:t>*; significant</w:t>
      </w:r>
      <w:r w:rsidRPr="00083789">
        <w:rPr>
          <w:color w:val="000000" w:themeColor="text1"/>
          <w:spacing w:val="-1"/>
          <w:sz w:val="16"/>
          <w:szCs w:val="16"/>
        </w:rPr>
        <w:t xml:space="preserve"> </w:t>
      </w:r>
      <w:r w:rsidRPr="00083789">
        <w:rPr>
          <w:color w:val="000000" w:themeColor="text1"/>
          <w:sz w:val="16"/>
          <w:szCs w:val="16"/>
        </w:rPr>
        <w:t>at</w:t>
      </w:r>
      <w:r w:rsidRPr="00083789">
        <w:rPr>
          <w:color w:val="000000" w:themeColor="text1"/>
          <w:spacing w:val="-1"/>
          <w:sz w:val="16"/>
          <w:szCs w:val="16"/>
        </w:rPr>
        <w:t xml:space="preserve"> </w:t>
      </w:r>
      <w:r w:rsidRPr="00083789">
        <w:rPr>
          <w:color w:val="000000" w:themeColor="text1"/>
          <w:spacing w:val="-2"/>
          <w:sz w:val="16"/>
          <w:szCs w:val="16"/>
        </w:rPr>
        <w:t>p=0.05.</w:t>
      </w:r>
    </w:p>
    <w:p w14:paraId="0CD87EC8" w14:textId="77777777" w:rsidR="00191ABF" w:rsidRPr="0050243A" w:rsidRDefault="00191ABF" w:rsidP="008546EF">
      <w:pPr>
        <w:ind w:right="78"/>
        <w:jc w:val="both"/>
        <w:rPr>
          <w:color w:val="000000" w:themeColor="text1"/>
          <w:sz w:val="20"/>
          <w:szCs w:val="20"/>
        </w:rPr>
      </w:pPr>
    </w:p>
    <w:p w14:paraId="68846AB6" w14:textId="77777777" w:rsidR="00191ABF" w:rsidRPr="0050243A" w:rsidRDefault="00191ABF" w:rsidP="00083789">
      <w:pPr>
        <w:spacing w:line="324" w:lineRule="auto"/>
        <w:ind w:right="79"/>
        <w:jc w:val="both"/>
        <w:rPr>
          <w:color w:val="FF0000"/>
          <w:sz w:val="20"/>
          <w:szCs w:val="20"/>
        </w:rPr>
      </w:pPr>
      <w:r w:rsidRPr="0050243A">
        <w:rPr>
          <w:color w:val="000000" w:themeColor="text1"/>
          <w:sz w:val="20"/>
          <w:szCs w:val="20"/>
        </w:rPr>
        <w:t xml:space="preserve">In Regime 2, defined by Government Effectiveness being greater than -0.0103, the analysis reveals that Remittances, Inflation, Interest Rate Spread, Corruption, Government Effectiveness, GDP per capita, Exchange Rate, Lending Interest Rate, Political Stability </w:t>
      </w:r>
      <w:r w:rsidRPr="0050243A">
        <w:rPr>
          <w:color w:val="000000" w:themeColor="text1"/>
          <w:sz w:val="20"/>
          <w:szCs w:val="20"/>
        </w:rPr>
        <w:lastRenderedPageBreak/>
        <w:t>(Political), and Overseas Employment Growth are statistically significant predictors at lag 1, as indicated by their p-values being below the 0.05 threshold. This suggests a strong association between these variables and remittance inflows within this regime. In contrast, Unemployment is found to be statistically insignificant at lag 1, with a p-value exceeding 0.05, indicating a weaker or non-existent short-term relationship with remittance flows under this specific regime condition.</w:t>
      </w:r>
      <w:r w:rsidRPr="0050243A">
        <w:rPr>
          <w:color w:val="FF0000"/>
          <w:sz w:val="20"/>
          <w:szCs w:val="20"/>
        </w:rPr>
        <w:t xml:space="preserve"> </w:t>
      </w:r>
      <w:r w:rsidRPr="0050243A">
        <w:rPr>
          <w:color w:val="000000" w:themeColor="text1"/>
          <w:sz w:val="20"/>
          <w:szCs w:val="20"/>
        </w:rPr>
        <w:t>Overall, the model demonstrates strong explanatory power and goodness of fit, as indicated by R² = 0.9952, AIC = −9879.898, BIC = −9556.896, and SSR = 3019.922, confirming the robustness of the TVAR framework in capturing the nonlinear and regime-dependent dynamics of remittance inflows in Bangladesh.</w:t>
      </w:r>
    </w:p>
    <w:p w14:paraId="3AFEC0D4" w14:textId="77777777" w:rsidR="00191ABF" w:rsidRPr="0050243A" w:rsidRDefault="00191ABF" w:rsidP="008546EF">
      <w:pPr>
        <w:ind w:right="78"/>
        <w:jc w:val="both"/>
        <w:rPr>
          <w:color w:val="000000" w:themeColor="text1"/>
          <w:sz w:val="20"/>
          <w:szCs w:val="20"/>
        </w:rPr>
      </w:pPr>
    </w:p>
    <w:p w14:paraId="5A385064" w14:textId="77777777" w:rsidR="00191ABF" w:rsidRDefault="00191ABF" w:rsidP="008546EF">
      <w:pPr>
        <w:ind w:right="78"/>
        <w:jc w:val="both"/>
        <w:rPr>
          <w:b/>
          <w:bCs/>
          <w:color w:val="000000" w:themeColor="text1"/>
          <w:sz w:val="20"/>
          <w:szCs w:val="20"/>
        </w:rPr>
      </w:pPr>
      <w:r w:rsidRPr="0050243A">
        <w:rPr>
          <w:b/>
          <w:bCs/>
          <w:color w:val="000000" w:themeColor="text1"/>
          <w:sz w:val="20"/>
          <w:szCs w:val="20"/>
        </w:rPr>
        <w:t>Granger Causality Test</w:t>
      </w:r>
    </w:p>
    <w:p w14:paraId="3B2EC8C4" w14:textId="77777777" w:rsidR="000B7304" w:rsidRPr="0050243A" w:rsidRDefault="000B7304" w:rsidP="008546EF">
      <w:pPr>
        <w:ind w:right="78"/>
        <w:jc w:val="both"/>
        <w:rPr>
          <w:b/>
          <w:bCs/>
          <w:color w:val="000000" w:themeColor="text1"/>
          <w:sz w:val="20"/>
          <w:szCs w:val="20"/>
        </w:rPr>
      </w:pPr>
    </w:p>
    <w:p w14:paraId="3D710231" w14:textId="77777777" w:rsidR="00191ABF" w:rsidRDefault="00191ABF" w:rsidP="000B7304">
      <w:pPr>
        <w:spacing w:line="324" w:lineRule="auto"/>
        <w:ind w:right="79"/>
        <w:jc w:val="both"/>
        <w:rPr>
          <w:color w:val="000000" w:themeColor="text1"/>
          <w:sz w:val="20"/>
          <w:szCs w:val="20"/>
        </w:rPr>
      </w:pPr>
      <w:r w:rsidRPr="0050243A">
        <w:rPr>
          <w:color w:val="000000" w:themeColor="text1"/>
          <w:sz w:val="20"/>
          <w:szCs w:val="20"/>
        </w:rPr>
        <w:t>Table 6 summarizes the Granger causality analysis under two regimes based on government effectiveness. In Regime 1 (Govt. effectiveness ≤ -0.0103), the results show that Exchange Rate, Inflation, and Corruption Control are statistically significant predictors of remittance inflows at the 5% level, while Unemployment exhibits marginal significance at the 10% level. These findings suggest that under weaker governance, macroeconomic instability and institutional quality factors have a stronger short-term influence on remittances.</w:t>
      </w:r>
    </w:p>
    <w:p w14:paraId="763E602D" w14:textId="77777777" w:rsidR="000B7304" w:rsidRPr="0050243A" w:rsidRDefault="000B7304" w:rsidP="008546EF">
      <w:pPr>
        <w:ind w:right="78"/>
        <w:jc w:val="both"/>
        <w:rPr>
          <w:color w:val="000000" w:themeColor="text1"/>
          <w:sz w:val="20"/>
          <w:szCs w:val="20"/>
        </w:rPr>
      </w:pPr>
    </w:p>
    <w:p w14:paraId="336DE0ED" w14:textId="7EF6B227" w:rsidR="00191ABF" w:rsidRDefault="00191ABF" w:rsidP="000B7304">
      <w:pPr>
        <w:ind w:left="851" w:right="78" w:hanging="851"/>
        <w:jc w:val="both"/>
        <w:rPr>
          <w:color w:val="000000" w:themeColor="text1"/>
          <w:sz w:val="20"/>
          <w:szCs w:val="20"/>
        </w:rPr>
      </w:pPr>
      <w:r w:rsidRPr="0050243A">
        <w:rPr>
          <w:b/>
          <w:bCs/>
          <w:color w:val="000000" w:themeColor="text1"/>
          <w:sz w:val="20"/>
          <w:szCs w:val="20"/>
        </w:rPr>
        <w:t>Table 6</w:t>
      </w:r>
      <w:r w:rsidR="000B7304">
        <w:rPr>
          <w:b/>
          <w:bCs/>
          <w:color w:val="000000" w:themeColor="text1"/>
          <w:sz w:val="20"/>
          <w:szCs w:val="20"/>
        </w:rPr>
        <w:t>.</w:t>
      </w:r>
      <w:r w:rsidRPr="0050243A">
        <w:rPr>
          <w:color w:val="000000" w:themeColor="text1"/>
          <w:spacing w:val="-1"/>
          <w:sz w:val="20"/>
          <w:szCs w:val="20"/>
        </w:rPr>
        <w:t xml:space="preserve"> </w:t>
      </w:r>
      <w:r w:rsidR="000B7304">
        <w:rPr>
          <w:color w:val="000000" w:themeColor="text1"/>
          <w:spacing w:val="-1"/>
          <w:sz w:val="20"/>
          <w:szCs w:val="20"/>
        </w:rPr>
        <w:tab/>
      </w:r>
      <w:r w:rsidRPr="0050243A">
        <w:rPr>
          <w:color w:val="000000" w:themeColor="text1"/>
          <w:sz w:val="20"/>
          <w:szCs w:val="20"/>
        </w:rPr>
        <w:t>Regime-</w:t>
      </w:r>
      <w:r w:rsidR="000B7304">
        <w:rPr>
          <w:color w:val="000000" w:themeColor="text1"/>
          <w:sz w:val="20"/>
          <w:szCs w:val="20"/>
        </w:rPr>
        <w:t>S</w:t>
      </w:r>
      <w:r w:rsidRPr="0050243A">
        <w:rPr>
          <w:color w:val="000000" w:themeColor="text1"/>
          <w:sz w:val="20"/>
          <w:szCs w:val="20"/>
        </w:rPr>
        <w:t xml:space="preserve">pecific Granger </w:t>
      </w:r>
      <w:r w:rsidR="000B7304">
        <w:rPr>
          <w:color w:val="000000" w:themeColor="text1"/>
          <w:sz w:val="20"/>
          <w:szCs w:val="20"/>
        </w:rPr>
        <w:t>C</w:t>
      </w:r>
      <w:r w:rsidRPr="0050243A">
        <w:rPr>
          <w:color w:val="000000" w:themeColor="text1"/>
          <w:sz w:val="20"/>
          <w:szCs w:val="20"/>
        </w:rPr>
        <w:t xml:space="preserve">ausality </w:t>
      </w:r>
      <w:r w:rsidR="000B7304">
        <w:rPr>
          <w:color w:val="000000" w:themeColor="text1"/>
          <w:sz w:val="20"/>
          <w:szCs w:val="20"/>
        </w:rPr>
        <w:t>T</w:t>
      </w:r>
      <w:r w:rsidRPr="0050243A">
        <w:rPr>
          <w:color w:val="000000" w:themeColor="text1"/>
          <w:sz w:val="20"/>
          <w:szCs w:val="20"/>
        </w:rPr>
        <w:t xml:space="preserve">est </w:t>
      </w:r>
      <w:r w:rsidR="000B7304">
        <w:rPr>
          <w:color w:val="000000" w:themeColor="text1"/>
          <w:sz w:val="20"/>
          <w:szCs w:val="20"/>
        </w:rPr>
        <w:t>R</w:t>
      </w:r>
      <w:r w:rsidRPr="0050243A">
        <w:rPr>
          <w:color w:val="000000" w:themeColor="text1"/>
          <w:sz w:val="20"/>
          <w:szCs w:val="20"/>
        </w:rPr>
        <w:t xml:space="preserve">esults for </w:t>
      </w:r>
      <w:r w:rsidR="000B7304">
        <w:rPr>
          <w:color w:val="000000" w:themeColor="text1"/>
          <w:sz w:val="20"/>
          <w:szCs w:val="20"/>
        </w:rPr>
        <w:t>R</w:t>
      </w:r>
      <w:r w:rsidRPr="0050243A">
        <w:rPr>
          <w:color w:val="000000" w:themeColor="text1"/>
          <w:sz w:val="20"/>
          <w:szCs w:val="20"/>
        </w:rPr>
        <w:t xml:space="preserve">emittance </w:t>
      </w:r>
      <w:r w:rsidR="000B7304">
        <w:rPr>
          <w:color w:val="000000" w:themeColor="text1"/>
          <w:sz w:val="20"/>
          <w:szCs w:val="20"/>
        </w:rPr>
        <w:t>I</w:t>
      </w:r>
      <w:r w:rsidRPr="0050243A">
        <w:rPr>
          <w:color w:val="000000" w:themeColor="text1"/>
          <w:sz w:val="20"/>
          <w:szCs w:val="20"/>
        </w:rPr>
        <w:t xml:space="preserve">nflows </w:t>
      </w:r>
      <w:r w:rsidR="000B7304">
        <w:rPr>
          <w:color w:val="000000" w:themeColor="text1"/>
          <w:sz w:val="20"/>
          <w:szCs w:val="20"/>
        </w:rPr>
        <w:t>B</w:t>
      </w:r>
      <w:r w:rsidRPr="0050243A">
        <w:rPr>
          <w:color w:val="000000" w:themeColor="text1"/>
          <w:sz w:val="20"/>
          <w:szCs w:val="20"/>
        </w:rPr>
        <w:t xml:space="preserve">ased on </w:t>
      </w:r>
      <w:r w:rsidR="000B7304">
        <w:rPr>
          <w:color w:val="000000" w:themeColor="text1"/>
          <w:sz w:val="20"/>
          <w:szCs w:val="20"/>
        </w:rPr>
        <w:t>G</w:t>
      </w:r>
      <w:r w:rsidRPr="0050243A">
        <w:rPr>
          <w:color w:val="000000" w:themeColor="text1"/>
          <w:sz w:val="20"/>
          <w:szCs w:val="20"/>
        </w:rPr>
        <w:t xml:space="preserve">overnment </w:t>
      </w:r>
      <w:r w:rsidR="000B7304">
        <w:rPr>
          <w:color w:val="000000" w:themeColor="text1"/>
          <w:sz w:val="20"/>
          <w:szCs w:val="20"/>
        </w:rPr>
        <w:t>E</w:t>
      </w:r>
      <w:r w:rsidRPr="0050243A">
        <w:rPr>
          <w:color w:val="000000" w:themeColor="text1"/>
          <w:sz w:val="20"/>
          <w:szCs w:val="20"/>
        </w:rPr>
        <w:t xml:space="preserve">ffectiveness </w:t>
      </w:r>
      <w:r w:rsidR="000B7304">
        <w:rPr>
          <w:color w:val="000000" w:themeColor="text1"/>
          <w:sz w:val="20"/>
          <w:szCs w:val="20"/>
        </w:rPr>
        <w:t>T</w:t>
      </w:r>
      <w:r w:rsidRPr="0050243A">
        <w:rPr>
          <w:color w:val="000000" w:themeColor="text1"/>
          <w:sz w:val="20"/>
          <w:szCs w:val="20"/>
        </w:rPr>
        <w:t>hreshold</w:t>
      </w:r>
    </w:p>
    <w:p w14:paraId="0ADBD543" w14:textId="77777777" w:rsidR="000B7304" w:rsidRPr="0050243A" w:rsidRDefault="000B7304" w:rsidP="008546EF">
      <w:pPr>
        <w:ind w:right="78"/>
        <w:jc w:val="both"/>
        <w:rPr>
          <w:color w:val="000000" w:themeColor="text1"/>
          <w:sz w:val="20"/>
          <w:szCs w:val="20"/>
        </w:rPr>
      </w:pPr>
    </w:p>
    <w:tbl>
      <w:tblPr>
        <w:tblW w:w="7749" w:type="dxa"/>
        <w:tblInd w:w="10"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49"/>
        <w:gridCol w:w="1550"/>
        <w:gridCol w:w="1551"/>
        <w:gridCol w:w="1549"/>
        <w:gridCol w:w="1550"/>
      </w:tblGrid>
      <w:tr w:rsidR="00191ABF" w:rsidRPr="0050243A" w14:paraId="5CA0F52C" w14:textId="77777777" w:rsidTr="000B7304">
        <w:trPr>
          <w:trHeight w:val="457"/>
        </w:trPr>
        <w:tc>
          <w:tcPr>
            <w:tcW w:w="1549" w:type="dxa"/>
            <w:vMerge w:val="restart"/>
          </w:tcPr>
          <w:p w14:paraId="195AB6BF"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pacing w:val="-2"/>
                <w:sz w:val="20"/>
                <w:szCs w:val="20"/>
              </w:rPr>
              <w:t>Independent Variable</w:t>
            </w:r>
          </w:p>
        </w:tc>
        <w:tc>
          <w:tcPr>
            <w:tcW w:w="3101" w:type="dxa"/>
            <w:gridSpan w:val="2"/>
          </w:tcPr>
          <w:p w14:paraId="48217E46"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Regime</w:t>
            </w:r>
            <w:r w:rsidRPr="0050243A">
              <w:rPr>
                <w:b/>
                <w:bCs/>
                <w:color w:val="000000" w:themeColor="text1"/>
                <w:spacing w:val="-5"/>
                <w:sz w:val="20"/>
                <w:szCs w:val="20"/>
              </w:rPr>
              <w:t xml:space="preserve"> 1:</w:t>
            </w:r>
          </w:p>
          <w:p w14:paraId="47F628CF"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Govt</w:t>
            </w:r>
            <w:r w:rsidRPr="0050243A">
              <w:rPr>
                <w:b/>
                <w:bCs/>
                <w:color w:val="000000" w:themeColor="text1"/>
                <w:spacing w:val="-2"/>
                <w:sz w:val="20"/>
                <w:szCs w:val="20"/>
              </w:rPr>
              <w:t xml:space="preserve"> </w:t>
            </w:r>
            <w:r w:rsidRPr="0050243A">
              <w:rPr>
                <w:b/>
                <w:bCs/>
                <w:color w:val="000000" w:themeColor="text1"/>
                <w:sz w:val="20"/>
                <w:szCs w:val="20"/>
              </w:rPr>
              <w:t>effective</w:t>
            </w:r>
            <w:r w:rsidRPr="0050243A">
              <w:rPr>
                <w:b/>
                <w:bCs/>
                <w:color w:val="000000" w:themeColor="text1"/>
                <w:spacing w:val="-4"/>
                <w:sz w:val="20"/>
                <w:szCs w:val="20"/>
              </w:rPr>
              <w:t xml:space="preserve"> </w:t>
            </w:r>
            <w:r w:rsidRPr="0050243A">
              <w:rPr>
                <w:b/>
                <w:bCs/>
                <w:color w:val="000000" w:themeColor="text1"/>
                <w:sz w:val="20"/>
                <w:szCs w:val="20"/>
              </w:rPr>
              <w:t>≤</w:t>
            </w:r>
            <w:r w:rsidRPr="0050243A">
              <w:rPr>
                <w:b/>
                <w:bCs/>
                <w:color w:val="000000" w:themeColor="text1"/>
                <w:spacing w:val="2"/>
                <w:sz w:val="20"/>
                <w:szCs w:val="20"/>
              </w:rPr>
              <w:t xml:space="preserve"> </w:t>
            </w:r>
            <w:r w:rsidRPr="0050243A">
              <w:rPr>
                <w:b/>
                <w:bCs/>
                <w:color w:val="000000" w:themeColor="text1"/>
                <w:sz w:val="20"/>
                <w:szCs w:val="20"/>
              </w:rPr>
              <w:t>-</w:t>
            </w:r>
            <w:r w:rsidRPr="0050243A">
              <w:rPr>
                <w:b/>
                <w:bCs/>
                <w:color w:val="000000" w:themeColor="text1"/>
                <w:spacing w:val="-2"/>
                <w:sz w:val="20"/>
                <w:szCs w:val="20"/>
              </w:rPr>
              <w:t>0.0103</w:t>
            </w:r>
          </w:p>
        </w:tc>
        <w:tc>
          <w:tcPr>
            <w:tcW w:w="3099" w:type="dxa"/>
            <w:gridSpan w:val="2"/>
          </w:tcPr>
          <w:p w14:paraId="49885DD2"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Regime</w:t>
            </w:r>
            <w:r w:rsidRPr="0050243A">
              <w:rPr>
                <w:b/>
                <w:bCs/>
                <w:color w:val="000000" w:themeColor="text1"/>
                <w:spacing w:val="-5"/>
                <w:sz w:val="20"/>
                <w:szCs w:val="20"/>
              </w:rPr>
              <w:t xml:space="preserve"> 2:</w:t>
            </w:r>
          </w:p>
          <w:p w14:paraId="0F842C37"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Govt</w:t>
            </w:r>
            <w:r w:rsidRPr="0050243A">
              <w:rPr>
                <w:b/>
                <w:bCs/>
                <w:color w:val="000000" w:themeColor="text1"/>
                <w:spacing w:val="-2"/>
                <w:sz w:val="20"/>
                <w:szCs w:val="20"/>
              </w:rPr>
              <w:t xml:space="preserve"> </w:t>
            </w:r>
            <w:r w:rsidRPr="0050243A">
              <w:rPr>
                <w:b/>
                <w:bCs/>
                <w:color w:val="000000" w:themeColor="text1"/>
                <w:sz w:val="20"/>
                <w:szCs w:val="20"/>
              </w:rPr>
              <w:t>effective</w:t>
            </w:r>
            <w:r w:rsidRPr="0050243A">
              <w:rPr>
                <w:b/>
                <w:bCs/>
                <w:color w:val="000000" w:themeColor="text1"/>
                <w:spacing w:val="-4"/>
                <w:sz w:val="20"/>
                <w:szCs w:val="20"/>
              </w:rPr>
              <w:t xml:space="preserve"> </w:t>
            </w:r>
            <w:r w:rsidRPr="0050243A">
              <w:rPr>
                <w:b/>
                <w:bCs/>
                <w:color w:val="000000" w:themeColor="text1"/>
                <w:sz w:val="20"/>
                <w:szCs w:val="20"/>
              </w:rPr>
              <w:t>&gt;</w:t>
            </w:r>
            <w:r w:rsidRPr="0050243A">
              <w:rPr>
                <w:b/>
                <w:bCs/>
                <w:color w:val="000000" w:themeColor="text1"/>
                <w:spacing w:val="2"/>
                <w:sz w:val="20"/>
                <w:szCs w:val="20"/>
              </w:rPr>
              <w:t xml:space="preserve"> </w:t>
            </w:r>
            <w:r w:rsidRPr="0050243A">
              <w:rPr>
                <w:b/>
                <w:bCs/>
                <w:color w:val="000000" w:themeColor="text1"/>
                <w:sz w:val="20"/>
                <w:szCs w:val="20"/>
              </w:rPr>
              <w:t>-</w:t>
            </w:r>
            <w:r w:rsidRPr="0050243A">
              <w:rPr>
                <w:b/>
                <w:bCs/>
                <w:color w:val="000000" w:themeColor="text1"/>
                <w:spacing w:val="-2"/>
                <w:sz w:val="20"/>
                <w:szCs w:val="20"/>
              </w:rPr>
              <w:t>0.0103</w:t>
            </w:r>
          </w:p>
        </w:tc>
      </w:tr>
      <w:tr w:rsidR="00191ABF" w:rsidRPr="0050243A" w14:paraId="179B9895" w14:textId="77777777" w:rsidTr="000B7304">
        <w:trPr>
          <w:trHeight w:val="226"/>
        </w:trPr>
        <w:tc>
          <w:tcPr>
            <w:tcW w:w="1549" w:type="dxa"/>
            <w:vMerge/>
          </w:tcPr>
          <w:p w14:paraId="25EA85DB" w14:textId="77777777" w:rsidR="00191ABF" w:rsidRPr="0050243A" w:rsidRDefault="00191ABF" w:rsidP="008546EF">
            <w:pPr>
              <w:ind w:right="78"/>
              <w:rPr>
                <w:b/>
                <w:bCs/>
                <w:color w:val="000000" w:themeColor="text1"/>
                <w:sz w:val="20"/>
                <w:szCs w:val="20"/>
              </w:rPr>
            </w:pPr>
          </w:p>
        </w:tc>
        <w:tc>
          <w:tcPr>
            <w:tcW w:w="1550" w:type="dxa"/>
            <w:shd w:val="clear" w:color="auto" w:fill="F1F1F1"/>
          </w:tcPr>
          <w:p w14:paraId="311DF97A"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pacing w:val="-2"/>
                <w:sz w:val="20"/>
                <w:szCs w:val="20"/>
              </w:rPr>
              <w:t>F-Statistic</w:t>
            </w:r>
          </w:p>
        </w:tc>
        <w:tc>
          <w:tcPr>
            <w:tcW w:w="1551" w:type="dxa"/>
            <w:shd w:val="clear" w:color="auto" w:fill="F1F1F1"/>
          </w:tcPr>
          <w:p w14:paraId="65F88BC5"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pacing w:val="-2"/>
                <w:sz w:val="20"/>
                <w:szCs w:val="20"/>
              </w:rPr>
              <w:t>P-value</w:t>
            </w:r>
          </w:p>
        </w:tc>
        <w:tc>
          <w:tcPr>
            <w:tcW w:w="1549" w:type="dxa"/>
            <w:shd w:val="clear" w:color="auto" w:fill="F1F1F1"/>
          </w:tcPr>
          <w:p w14:paraId="0B16E53A"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pacing w:val="-2"/>
                <w:sz w:val="20"/>
                <w:szCs w:val="20"/>
              </w:rPr>
              <w:t>F-Statistic</w:t>
            </w:r>
          </w:p>
        </w:tc>
        <w:tc>
          <w:tcPr>
            <w:tcW w:w="1550" w:type="dxa"/>
            <w:shd w:val="clear" w:color="auto" w:fill="F1F1F1"/>
          </w:tcPr>
          <w:p w14:paraId="0864A1B0"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pacing w:val="-2"/>
                <w:sz w:val="20"/>
                <w:szCs w:val="20"/>
              </w:rPr>
              <w:t>P-value</w:t>
            </w:r>
          </w:p>
        </w:tc>
      </w:tr>
      <w:tr w:rsidR="00191ABF" w:rsidRPr="0050243A" w14:paraId="34887D54" w14:textId="77777777" w:rsidTr="000B7304">
        <w:trPr>
          <w:trHeight w:val="226"/>
        </w:trPr>
        <w:tc>
          <w:tcPr>
            <w:tcW w:w="1549" w:type="dxa"/>
          </w:tcPr>
          <w:p w14:paraId="47395615"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GDP_PC</w:t>
            </w:r>
          </w:p>
        </w:tc>
        <w:tc>
          <w:tcPr>
            <w:tcW w:w="1550" w:type="dxa"/>
          </w:tcPr>
          <w:p w14:paraId="7DA8482E"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0.0065</w:t>
            </w:r>
          </w:p>
        </w:tc>
        <w:tc>
          <w:tcPr>
            <w:tcW w:w="1551" w:type="dxa"/>
          </w:tcPr>
          <w:p w14:paraId="3BE603C6"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0.9936</w:t>
            </w:r>
          </w:p>
        </w:tc>
        <w:tc>
          <w:tcPr>
            <w:tcW w:w="1549" w:type="dxa"/>
          </w:tcPr>
          <w:p w14:paraId="022B8E89"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0.1173</w:t>
            </w:r>
          </w:p>
        </w:tc>
        <w:tc>
          <w:tcPr>
            <w:tcW w:w="1550" w:type="dxa"/>
          </w:tcPr>
          <w:p w14:paraId="5C07DBCF"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0.8911</w:t>
            </w:r>
          </w:p>
        </w:tc>
      </w:tr>
      <w:tr w:rsidR="00191ABF" w:rsidRPr="0050243A" w14:paraId="1F348CC6" w14:textId="77777777" w:rsidTr="000B7304">
        <w:trPr>
          <w:trHeight w:val="226"/>
        </w:trPr>
        <w:tc>
          <w:tcPr>
            <w:tcW w:w="1549" w:type="dxa"/>
            <w:shd w:val="clear" w:color="auto" w:fill="F1F1F1"/>
          </w:tcPr>
          <w:p w14:paraId="733CC3EC" w14:textId="77777777" w:rsidR="00191ABF" w:rsidRPr="0050243A" w:rsidRDefault="00191ABF" w:rsidP="008546EF">
            <w:pPr>
              <w:pStyle w:val="TableParagraph"/>
              <w:ind w:right="78"/>
              <w:rPr>
                <w:color w:val="000000" w:themeColor="text1"/>
                <w:sz w:val="20"/>
                <w:szCs w:val="20"/>
              </w:rPr>
            </w:pPr>
            <w:proofErr w:type="spellStart"/>
            <w:r w:rsidRPr="0050243A">
              <w:rPr>
                <w:color w:val="000000" w:themeColor="text1"/>
                <w:spacing w:val="-2"/>
                <w:sz w:val="20"/>
                <w:szCs w:val="20"/>
              </w:rPr>
              <w:t>Unem_R</w:t>
            </w:r>
            <w:proofErr w:type="spellEnd"/>
          </w:p>
        </w:tc>
        <w:tc>
          <w:tcPr>
            <w:tcW w:w="1550" w:type="dxa"/>
            <w:shd w:val="clear" w:color="auto" w:fill="F1F1F1"/>
          </w:tcPr>
          <w:p w14:paraId="7D352EB7"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3.9914</w:t>
            </w:r>
          </w:p>
        </w:tc>
        <w:tc>
          <w:tcPr>
            <w:tcW w:w="1551" w:type="dxa"/>
            <w:shd w:val="clear" w:color="auto" w:fill="F1F1F1"/>
          </w:tcPr>
          <w:p w14:paraId="7C4E1797"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0.0921*</w:t>
            </w:r>
          </w:p>
        </w:tc>
        <w:tc>
          <w:tcPr>
            <w:tcW w:w="1549" w:type="dxa"/>
            <w:shd w:val="clear" w:color="auto" w:fill="F1F1F1"/>
          </w:tcPr>
          <w:p w14:paraId="5AEBF876"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1.0424</w:t>
            </w:r>
          </w:p>
        </w:tc>
        <w:tc>
          <w:tcPr>
            <w:tcW w:w="1550" w:type="dxa"/>
            <w:shd w:val="clear" w:color="auto" w:fill="F1F1F1"/>
          </w:tcPr>
          <w:p w14:paraId="29A7A368"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0.4016</w:t>
            </w:r>
          </w:p>
        </w:tc>
      </w:tr>
      <w:tr w:rsidR="00191ABF" w:rsidRPr="0050243A" w14:paraId="6502483A" w14:textId="77777777" w:rsidTr="000B7304">
        <w:trPr>
          <w:trHeight w:val="226"/>
        </w:trPr>
        <w:tc>
          <w:tcPr>
            <w:tcW w:w="1549" w:type="dxa"/>
          </w:tcPr>
          <w:p w14:paraId="3E09400D"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Exchange</w:t>
            </w:r>
          </w:p>
        </w:tc>
        <w:tc>
          <w:tcPr>
            <w:tcW w:w="1550" w:type="dxa"/>
          </w:tcPr>
          <w:p w14:paraId="03EB0E70"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5.6712</w:t>
            </w:r>
          </w:p>
        </w:tc>
        <w:tc>
          <w:tcPr>
            <w:tcW w:w="1551" w:type="dxa"/>
          </w:tcPr>
          <w:p w14:paraId="6B959EC0"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0.0518**</w:t>
            </w:r>
          </w:p>
        </w:tc>
        <w:tc>
          <w:tcPr>
            <w:tcW w:w="1549" w:type="dxa"/>
          </w:tcPr>
          <w:p w14:paraId="65F81133"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4.1540</w:t>
            </w:r>
          </w:p>
        </w:tc>
        <w:tc>
          <w:tcPr>
            <w:tcW w:w="1550" w:type="dxa"/>
          </w:tcPr>
          <w:p w14:paraId="78B8CFA1"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0.0647*</w:t>
            </w:r>
          </w:p>
        </w:tc>
      </w:tr>
      <w:tr w:rsidR="00191ABF" w:rsidRPr="0050243A" w14:paraId="7567B2C9" w14:textId="77777777" w:rsidTr="000B7304">
        <w:trPr>
          <w:trHeight w:val="227"/>
        </w:trPr>
        <w:tc>
          <w:tcPr>
            <w:tcW w:w="1549" w:type="dxa"/>
            <w:shd w:val="clear" w:color="auto" w:fill="F1F1F1"/>
          </w:tcPr>
          <w:p w14:paraId="2399B2E9"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Inflation</w:t>
            </w:r>
          </w:p>
        </w:tc>
        <w:tc>
          <w:tcPr>
            <w:tcW w:w="1550" w:type="dxa"/>
            <w:shd w:val="clear" w:color="auto" w:fill="F1F1F1"/>
          </w:tcPr>
          <w:p w14:paraId="5A716651"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5.7107</w:t>
            </w:r>
          </w:p>
        </w:tc>
        <w:tc>
          <w:tcPr>
            <w:tcW w:w="1551" w:type="dxa"/>
            <w:shd w:val="clear" w:color="auto" w:fill="F1F1F1"/>
          </w:tcPr>
          <w:p w14:paraId="4B6F0AD1"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0.0512**</w:t>
            </w:r>
          </w:p>
        </w:tc>
        <w:tc>
          <w:tcPr>
            <w:tcW w:w="1549" w:type="dxa"/>
            <w:shd w:val="clear" w:color="auto" w:fill="F1F1F1"/>
          </w:tcPr>
          <w:p w14:paraId="7DFEC226"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0.1928</w:t>
            </w:r>
          </w:p>
        </w:tc>
        <w:tc>
          <w:tcPr>
            <w:tcW w:w="1550" w:type="dxa"/>
            <w:shd w:val="clear" w:color="auto" w:fill="F1F1F1"/>
          </w:tcPr>
          <w:p w14:paraId="316B1DEC"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0.8289</w:t>
            </w:r>
          </w:p>
        </w:tc>
      </w:tr>
      <w:tr w:rsidR="00191ABF" w:rsidRPr="0050243A" w14:paraId="3625B8DE" w14:textId="77777777" w:rsidTr="000B7304">
        <w:trPr>
          <w:trHeight w:val="226"/>
        </w:trPr>
        <w:tc>
          <w:tcPr>
            <w:tcW w:w="1549" w:type="dxa"/>
          </w:tcPr>
          <w:p w14:paraId="2642B0DF" w14:textId="77777777" w:rsidR="00191ABF" w:rsidRPr="0050243A" w:rsidRDefault="00191ABF" w:rsidP="008546EF">
            <w:pPr>
              <w:pStyle w:val="TableParagraph"/>
              <w:ind w:right="78"/>
              <w:rPr>
                <w:color w:val="000000" w:themeColor="text1"/>
                <w:sz w:val="20"/>
                <w:szCs w:val="20"/>
              </w:rPr>
            </w:pPr>
            <w:proofErr w:type="spellStart"/>
            <w:r w:rsidRPr="0050243A">
              <w:rPr>
                <w:color w:val="000000" w:themeColor="text1"/>
                <w:spacing w:val="-2"/>
                <w:sz w:val="20"/>
                <w:szCs w:val="20"/>
              </w:rPr>
              <w:t>Lending_IR</w:t>
            </w:r>
            <w:proofErr w:type="spellEnd"/>
          </w:p>
        </w:tc>
        <w:tc>
          <w:tcPr>
            <w:tcW w:w="1550" w:type="dxa"/>
          </w:tcPr>
          <w:p w14:paraId="67882B8F"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0.9561</w:t>
            </w:r>
          </w:p>
        </w:tc>
        <w:tc>
          <w:tcPr>
            <w:tcW w:w="1551" w:type="dxa"/>
          </w:tcPr>
          <w:p w14:paraId="6DFBF0E7"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0.4450</w:t>
            </w:r>
          </w:p>
        </w:tc>
        <w:tc>
          <w:tcPr>
            <w:tcW w:w="1549" w:type="dxa"/>
          </w:tcPr>
          <w:p w14:paraId="7555B398"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7.3730</w:t>
            </w:r>
          </w:p>
        </w:tc>
        <w:tc>
          <w:tcPr>
            <w:tcW w:w="1550" w:type="dxa"/>
          </w:tcPr>
          <w:p w14:paraId="73D7BAC9"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0.0189**</w:t>
            </w:r>
          </w:p>
        </w:tc>
      </w:tr>
      <w:tr w:rsidR="00191ABF" w:rsidRPr="0050243A" w14:paraId="550DE35D" w14:textId="77777777" w:rsidTr="000B7304">
        <w:trPr>
          <w:trHeight w:val="229"/>
        </w:trPr>
        <w:tc>
          <w:tcPr>
            <w:tcW w:w="1549" w:type="dxa"/>
            <w:shd w:val="clear" w:color="auto" w:fill="F1F1F1"/>
          </w:tcPr>
          <w:p w14:paraId="6031DC43" w14:textId="77777777" w:rsidR="00191ABF" w:rsidRPr="0050243A" w:rsidRDefault="00191ABF" w:rsidP="008546EF">
            <w:pPr>
              <w:pStyle w:val="TableParagraph"/>
              <w:ind w:right="78"/>
              <w:rPr>
                <w:color w:val="000000" w:themeColor="text1"/>
                <w:sz w:val="20"/>
                <w:szCs w:val="20"/>
              </w:rPr>
            </w:pPr>
            <w:proofErr w:type="spellStart"/>
            <w:r w:rsidRPr="0050243A">
              <w:rPr>
                <w:color w:val="000000" w:themeColor="text1"/>
                <w:spacing w:val="-2"/>
                <w:sz w:val="20"/>
                <w:szCs w:val="20"/>
              </w:rPr>
              <w:t>Interest_RS</w:t>
            </w:r>
            <w:proofErr w:type="spellEnd"/>
          </w:p>
        </w:tc>
        <w:tc>
          <w:tcPr>
            <w:tcW w:w="1550" w:type="dxa"/>
            <w:shd w:val="clear" w:color="auto" w:fill="F1F1F1"/>
          </w:tcPr>
          <w:p w14:paraId="73DBD858"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1.2234</w:t>
            </w:r>
          </w:p>
        </w:tc>
        <w:tc>
          <w:tcPr>
            <w:tcW w:w="1551" w:type="dxa"/>
            <w:shd w:val="clear" w:color="auto" w:fill="F1F1F1"/>
          </w:tcPr>
          <w:p w14:paraId="54079849"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0.3694</w:t>
            </w:r>
          </w:p>
        </w:tc>
        <w:tc>
          <w:tcPr>
            <w:tcW w:w="1549" w:type="dxa"/>
            <w:shd w:val="clear" w:color="auto" w:fill="F1F1F1"/>
          </w:tcPr>
          <w:p w14:paraId="426A0D26"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0.5859</w:t>
            </w:r>
          </w:p>
        </w:tc>
        <w:tc>
          <w:tcPr>
            <w:tcW w:w="1550" w:type="dxa"/>
            <w:shd w:val="clear" w:color="auto" w:fill="F1F1F1"/>
          </w:tcPr>
          <w:p w14:paraId="79874278"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0.5818</w:t>
            </w:r>
          </w:p>
        </w:tc>
      </w:tr>
      <w:tr w:rsidR="00191ABF" w:rsidRPr="0050243A" w14:paraId="17576615" w14:textId="77777777" w:rsidTr="000B7304">
        <w:trPr>
          <w:trHeight w:val="226"/>
        </w:trPr>
        <w:tc>
          <w:tcPr>
            <w:tcW w:w="1549" w:type="dxa"/>
          </w:tcPr>
          <w:p w14:paraId="10D844AC" w14:textId="77777777" w:rsidR="00191ABF" w:rsidRPr="0050243A" w:rsidRDefault="00191ABF" w:rsidP="008546EF">
            <w:pPr>
              <w:pStyle w:val="TableParagraph"/>
              <w:ind w:right="78"/>
              <w:rPr>
                <w:color w:val="000000" w:themeColor="text1"/>
                <w:sz w:val="20"/>
                <w:szCs w:val="20"/>
              </w:rPr>
            </w:pPr>
            <w:proofErr w:type="spellStart"/>
            <w:r w:rsidRPr="0050243A">
              <w:rPr>
                <w:color w:val="000000" w:themeColor="text1"/>
                <w:spacing w:val="-2"/>
                <w:sz w:val="20"/>
                <w:szCs w:val="20"/>
              </w:rPr>
              <w:t>Political_SAV</w:t>
            </w:r>
            <w:proofErr w:type="spellEnd"/>
          </w:p>
        </w:tc>
        <w:tc>
          <w:tcPr>
            <w:tcW w:w="1550" w:type="dxa"/>
          </w:tcPr>
          <w:p w14:paraId="53CF44D0"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0.7781</w:t>
            </w:r>
          </w:p>
        </w:tc>
        <w:tc>
          <w:tcPr>
            <w:tcW w:w="1551" w:type="dxa"/>
          </w:tcPr>
          <w:p w14:paraId="518FC098"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0.5079</w:t>
            </w:r>
          </w:p>
        </w:tc>
        <w:tc>
          <w:tcPr>
            <w:tcW w:w="1549" w:type="dxa"/>
          </w:tcPr>
          <w:p w14:paraId="12DC69AD"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2.1092</w:t>
            </w:r>
          </w:p>
        </w:tc>
        <w:tc>
          <w:tcPr>
            <w:tcW w:w="1550" w:type="dxa"/>
          </w:tcPr>
          <w:p w14:paraId="2CCEDF40"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0.1919</w:t>
            </w:r>
          </w:p>
        </w:tc>
      </w:tr>
      <w:tr w:rsidR="00191ABF" w:rsidRPr="0050243A" w14:paraId="3D7AB19C" w14:textId="77777777" w:rsidTr="000B7304">
        <w:trPr>
          <w:trHeight w:val="226"/>
        </w:trPr>
        <w:tc>
          <w:tcPr>
            <w:tcW w:w="1549" w:type="dxa"/>
            <w:shd w:val="clear" w:color="auto" w:fill="F1F1F1"/>
          </w:tcPr>
          <w:p w14:paraId="0EF3E037" w14:textId="77777777" w:rsidR="00191ABF" w:rsidRPr="0050243A" w:rsidRDefault="00191ABF" w:rsidP="008546EF">
            <w:pPr>
              <w:pStyle w:val="TableParagraph"/>
              <w:ind w:right="78"/>
              <w:rPr>
                <w:color w:val="000000" w:themeColor="text1"/>
                <w:sz w:val="20"/>
                <w:szCs w:val="20"/>
              </w:rPr>
            </w:pPr>
            <w:proofErr w:type="spellStart"/>
            <w:r w:rsidRPr="0050243A">
              <w:rPr>
                <w:color w:val="000000" w:themeColor="text1"/>
                <w:spacing w:val="-2"/>
                <w:sz w:val="20"/>
                <w:szCs w:val="20"/>
              </w:rPr>
              <w:t>Corruption_C</w:t>
            </w:r>
            <w:proofErr w:type="spellEnd"/>
          </w:p>
        </w:tc>
        <w:tc>
          <w:tcPr>
            <w:tcW w:w="1550" w:type="dxa"/>
            <w:shd w:val="clear" w:color="auto" w:fill="F1F1F1"/>
          </w:tcPr>
          <w:p w14:paraId="3CED5461"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5.7529</w:t>
            </w:r>
          </w:p>
        </w:tc>
        <w:tc>
          <w:tcPr>
            <w:tcW w:w="1551" w:type="dxa"/>
            <w:shd w:val="clear" w:color="auto" w:fill="F1F1F1"/>
          </w:tcPr>
          <w:p w14:paraId="77CAE221"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0.0505*</w:t>
            </w:r>
          </w:p>
        </w:tc>
        <w:tc>
          <w:tcPr>
            <w:tcW w:w="1549" w:type="dxa"/>
            <w:shd w:val="clear" w:color="auto" w:fill="F1F1F1"/>
          </w:tcPr>
          <w:p w14:paraId="3D520479"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0.2984</w:t>
            </w:r>
          </w:p>
        </w:tc>
        <w:tc>
          <w:tcPr>
            <w:tcW w:w="1550" w:type="dxa"/>
            <w:shd w:val="clear" w:color="auto" w:fill="F1F1F1"/>
          </w:tcPr>
          <w:p w14:paraId="0E8272CC"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0.7510</w:t>
            </w:r>
          </w:p>
        </w:tc>
      </w:tr>
      <w:tr w:rsidR="00191ABF" w:rsidRPr="0050243A" w14:paraId="179C11CF" w14:textId="77777777" w:rsidTr="000B7304">
        <w:trPr>
          <w:trHeight w:val="226"/>
        </w:trPr>
        <w:tc>
          <w:tcPr>
            <w:tcW w:w="1549" w:type="dxa"/>
          </w:tcPr>
          <w:p w14:paraId="26FC7BAD" w14:textId="77777777" w:rsidR="00191ABF" w:rsidRPr="0050243A" w:rsidRDefault="00191ABF" w:rsidP="008546EF">
            <w:pPr>
              <w:pStyle w:val="TableParagraph"/>
              <w:ind w:right="78"/>
              <w:rPr>
                <w:color w:val="000000" w:themeColor="text1"/>
                <w:sz w:val="20"/>
                <w:szCs w:val="20"/>
              </w:rPr>
            </w:pPr>
            <w:proofErr w:type="spellStart"/>
            <w:r w:rsidRPr="0050243A">
              <w:rPr>
                <w:color w:val="000000" w:themeColor="text1"/>
                <w:spacing w:val="-2"/>
                <w:sz w:val="20"/>
                <w:szCs w:val="20"/>
              </w:rPr>
              <w:t>Govt_effect</w:t>
            </w:r>
            <w:proofErr w:type="spellEnd"/>
          </w:p>
        </w:tc>
        <w:tc>
          <w:tcPr>
            <w:tcW w:w="1550" w:type="dxa"/>
          </w:tcPr>
          <w:p w14:paraId="3F2152B2"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0.3994</w:t>
            </w:r>
          </w:p>
        </w:tc>
        <w:tc>
          <w:tcPr>
            <w:tcW w:w="1551" w:type="dxa"/>
          </w:tcPr>
          <w:p w14:paraId="7C6E4F00"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0.6904</w:t>
            </w:r>
          </w:p>
        </w:tc>
        <w:tc>
          <w:tcPr>
            <w:tcW w:w="1549" w:type="dxa"/>
          </w:tcPr>
          <w:p w14:paraId="2ED9B91F"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0.2283</w:t>
            </w:r>
          </w:p>
        </w:tc>
        <w:tc>
          <w:tcPr>
            <w:tcW w:w="1550" w:type="dxa"/>
          </w:tcPr>
          <w:p w14:paraId="719FB97E"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0.8016</w:t>
            </w:r>
          </w:p>
        </w:tc>
      </w:tr>
      <w:tr w:rsidR="00191ABF" w:rsidRPr="0050243A" w14:paraId="58D321D0" w14:textId="77777777" w:rsidTr="000B7304">
        <w:trPr>
          <w:trHeight w:val="226"/>
        </w:trPr>
        <w:tc>
          <w:tcPr>
            <w:tcW w:w="1549" w:type="dxa"/>
            <w:shd w:val="clear" w:color="auto" w:fill="F1F1F1"/>
          </w:tcPr>
          <w:p w14:paraId="5963EF90"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Overseas</w:t>
            </w:r>
          </w:p>
        </w:tc>
        <w:tc>
          <w:tcPr>
            <w:tcW w:w="1550" w:type="dxa"/>
            <w:shd w:val="clear" w:color="auto" w:fill="F1F1F1"/>
          </w:tcPr>
          <w:p w14:paraId="69EA5E72"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0.8133</w:t>
            </w:r>
          </w:p>
        </w:tc>
        <w:tc>
          <w:tcPr>
            <w:tcW w:w="1551" w:type="dxa"/>
            <w:shd w:val="clear" w:color="auto" w:fill="F1F1F1"/>
          </w:tcPr>
          <w:p w14:paraId="5F363446"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0.4945</w:t>
            </w:r>
          </w:p>
        </w:tc>
        <w:tc>
          <w:tcPr>
            <w:tcW w:w="1549" w:type="dxa"/>
            <w:shd w:val="clear" w:color="auto" w:fill="F1F1F1"/>
          </w:tcPr>
          <w:p w14:paraId="3D803ABF"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0.2735</w:t>
            </w:r>
          </w:p>
        </w:tc>
        <w:tc>
          <w:tcPr>
            <w:tcW w:w="1550" w:type="dxa"/>
            <w:shd w:val="clear" w:color="auto" w:fill="F1F1F1"/>
          </w:tcPr>
          <w:p w14:paraId="7B5A78A4"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0.7685</w:t>
            </w:r>
          </w:p>
        </w:tc>
      </w:tr>
    </w:tbl>
    <w:p w14:paraId="36C51AAE" w14:textId="77777777" w:rsidR="00191ABF" w:rsidRPr="000B7304" w:rsidRDefault="00191ABF" w:rsidP="008546EF">
      <w:pPr>
        <w:pStyle w:val="BodyText"/>
        <w:spacing w:after="0"/>
        <w:ind w:right="78"/>
        <w:rPr>
          <w:color w:val="000000" w:themeColor="text1"/>
          <w:spacing w:val="-2"/>
          <w:sz w:val="18"/>
          <w:szCs w:val="18"/>
        </w:rPr>
      </w:pPr>
      <w:r w:rsidRPr="000B7304">
        <w:rPr>
          <w:color w:val="000000" w:themeColor="text1"/>
          <w:sz w:val="18"/>
          <w:szCs w:val="18"/>
        </w:rPr>
        <w:t>Note:</w:t>
      </w:r>
      <w:r w:rsidRPr="000B7304">
        <w:rPr>
          <w:color w:val="000000" w:themeColor="text1"/>
          <w:spacing w:val="-1"/>
          <w:sz w:val="18"/>
          <w:szCs w:val="18"/>
        </w:rPr>
        <w:t xml:space="preserve"> </w:t>
      </w:r>
      <w:r w:rsidRPr="000B7304">
        <w:rPr>
          <w:color w:val="000000" w:themeColor="text1"/>
          <w:sz w:val="18"/>
          <w:szCs w:val="18"/>
        </w:rPr>
        <w:t>***;</w:t>
      </w:r>
      <w:r w:rsidRPr="000B7304">
        <w:rPr>
          <w:color w:val="000000" w:themeColor="text1"/>
          <w:spacing w:val="-1"/>
          <w:sz w:val="18"/>
          <w:szCs w:val="18"/>
        </w:rPr>
        <w:t xml:space="preserve"> </w:t>
      </w:r>
      <w:r w:rsidRPr="000B7304">
        <w:rPr>
          <w:color w:val="000000" w:themeColor="text1"/>
          <w:sz w:val="18"/>
          <w:szCs w:val="18"/>
        </w:rPr>
        <w:t>significant at p=0.001,</w:t>
      </w:r>
      <w:r w:rsidRPr="000B7304">
        <w:rPr>
          <w:color w:val="000000" w:themeColor="text1"/>
          <w:spacing w:val="-1"/>
          <w:sz w:val="18"/>
          <w:szCs w:val="18"/>
        </w:rPr>
        <w:t xml:space="preserve"> </w:t>
      </w:r>
      <w:r w:rsidRPr="000B7304">
        <w:rPr>
          <w:color w:val="000000" w:themeColor="text1"/>
          <w:sz w:val="18"/>
          <w:szCs w:val="18"/>
        </w:rPr>
        <w:t>**;</w:t>
      </w:r>
      <w:r w:rsidRPr="000B7304">
        <w:rPr>
          <w:color w:val="000000" w:themeColor="text1"/>
          <w:spacing w:val="-1"/>
          <w:sz w:val="18"/>
          <w:szCs w:val="18"/>
        </w:rPr>
        <w:t xml:space="preserve"> </w:t>
      </w:r>
      <w:r w:rsidRPr="000B7304">
        <w:rPr>
          <w:color w:val="000000" w:themeColor="text1"/>
          <w:sz w:val="18"/>
          <w:szCs w:val="18"/>
        </w:rPr>
        <w:t>significant</w:t>
      </w:r>
      <w:r w:rsidRPr="000B7304">
        <w:rPr>
          <w:color w:val="000000" w:themeColor="text1"/>
          <w:spacing w:val="-1"/>
          <w:sz w:val="18"/>
          <w:szCs w:val="18"/>
        </w:rPr>
        <w:t xml:space="preserve"> </w:t>
      </w:r>
      <w:r w:rsidRPr="000B7304">
        <w:rPr>
          <w:color w:val="000000" w:themeColor="text1"/>
          <w:sz w:val="18"/>
          <w:szCs w:val="18"/>
        </w:rPr>
        <w:t>at</w:t>
      </w:r>
      <w:r w:rsidRPr="000B7304">
        <w:rPr>
          <w:color w:val="000000" w:themeColor="text1"/>
          <w:spacing w:val="-1"/>
          <w:sz w:val="18"/>
          <w:szCs w:val="18"/>
        </w:rPr>
        <w:t xml:space="preserve"> </w:t>
      </w:r>
      <w:r w:rsidRPr="000B7304">
        <w:rPr>
          <w:color w:val="000000" w:themeColor="text1"/>
          <w:sz w:val="18"/>
          <w:szCs w:val="18"/>
        </w:rPr>
        <w:t>p=0.05,</w:t>
      </w:r>
      <w:r w:rsidRPr="000B7304">
        <w:rPr>
          <w:color w:val="000000" w:themeColor="text1"/>
          <w:spacing w:val="-1"/>
          <w:sz w:val="18"/>
          <w:szCs w:val="18"/>
        </w:rPr>
        <w:t xml:space="preserve"> </w:t>
      </w:r>
      <w:r w:rsidRPr="000B7304">
        <w:rPr>
          <w:color w:val="000000" w:themeColor="text1"/>
          <w:sz w:val="18"/>
          <w:szCs w:val="18"/>
        </w:rPr>
        <w:t>*; significant</w:t>
      </w:r>
      <w:r w:rsidRPr="000B7304">
        <w:rPr>
          <w:color w:val="000000" w:themeColor="text1"/>
          <w:spacing w:val="-1"/>
          <w:sz w:val="18"/>
          <w:szCs w:val="18"/>
        </w:rPr>
        <w:t xml:space="preserve"> </w:t>
      </w:r>
      <w:r w:rsidRPr="000B7304">
        <w:rPr>
          <w:color w:val="000000" w:themeColor="text1"/>
          <w:sz w:val="18"/>
          <w:szCs w:val="18"/>
        </w:rPr>
        <w:t>at</w:t>
      </w:r>
      <w:r w:rsidRPr="000B7304">
        <w:rPr>
          <w:color w:val="000000" w:themeColor="text1"/>
          <w:spacing w:val="-1"/>
          <w:sz w:val="18"/>
          <w:szCs w:val="18"/>
        </w:rPr>
        <w:t xml:space="preserve"> </w:t>
      </w:r>
      <w:r w:rsidRPr="000B7304">
        <w:rPr>
          <w:color w:val="000000" w:themeColor="text1"/>
          <w:spacing w:val="-2"/>
          <w:sz w:val="18"/>
          <w:szCs w:val="18"/>
        </w:rPr>
        <w:t>p=0.1.</w:t>
      </w:r>
    </w:p>
    <w:p w14:paraId="429D5130" w14:textId="77777777" w:rsidR="00191ABF" w:rsidRPr="0050243A" w:rsidRDefault="00191ABF" w:rsidP="008546EF">
      <w:pPr>
        <w:ind w:right="78"/>
        <w:rPr>
          <w:color w:val="000000" w:themeColor="text1"/>
          <w:sz w:val="20"/>
          <w:szCs w:val="20"/>
        </w:rPr>
      </w:pPr>
    </w:p>
    <w:p w14:paraId="28407F52" w14:textId="77777777" w:rsidR="00191ABF" w:rsidRPr="0050243A" w:rsidRDefault="00191ABF" w:rsidP="000B7304">
      <w:pPr>
        <w:spacing w:line="324" w:lineRule="auto"/>
        <w:ind w:right="79"/>
        <w:jc w:val="both"/>
        <w:rPr>
          <w:sz w:val="20"/>
          <w:szCs w:val="20"/>
        </w:rPr>
      </w:pPr>
      <w:r w:rsidRPr="0050243A">
        <w:rPr>
          <w:color w:val="000000" w:themeColor="text1"/>
          <w:sz w:val="20"/>
          <w:szCs w:val="20"/>
        </w:rPr>
        <w:t>In Regime 2 (</w:t>
      </w:r>
      <w:proofErr w:type="spellStart"/>
      <w:r w:rsidRPr="0050243A">
        <w:rPr>
          <w:color w:val="000000" w:themeColor="text1"/>
          <w:sz w:val="20"/>
          <w:szCs w:val="20"/>
        </w:rPr>
        <w:t>Govt_effect</w:t>
      </w:r>
      <w:proofErr w:type="spellEnd"/>
      <w:r w:rsidRPr="0050243A">
        <w:rPr>
          <w:color w:val="000000" w:themeColor="text1"/>
          <w:sz w:val="20"/>
          <w:szCs w:val="20"/>
        </w:rPr>
        <w:t xml:space="preserve"> &gt; -0.0103), Lending Interest Rate is the only variable that shows significant causality (p = 0.0189), indicating that financial conditions gain importance when governance improves. Although the Exchange Rate remains marginally significant in both regimes, most other variables, including GDP per capita, Interest Rate Spread, Political Stability, and Overseas Employment, show no significant causal effect in either regime. This </w:t>
      </w:r>
      <w:r w:rsidRPr="0050243A">
        <w:rPr>
          <w:color w:val="000000" w:themeColor="text1"/>
          <w:sz w:val="20"/>
          <w:szCs w:val="20"/>
        </w:rPr>
        <w:lastRenderedPageBreak/>
        <w:t>indicates that the short-term dynamics of remittance inflows are influenced by regime-specific conditions, with economic and institutional factors exerting varying effects depending on the level of government effectiveness.</w:t>
      </w:r>
      <w:r w:rsidRPr="0050243A">
        <w:rPr>
          <w:sz w:val="20"/>
          <w:szCs w:val="20"/>
        </w:rPr>
        <w:t xml:space="preserve"> Overall, the model demonstrates strong explanatory power and goodness of fit, as indicated by R² = 0.9952, AIC = −9879.898, BIC = −9556.896, and SSR = 3019.922, confirming the robustness of the TVAR framework in capturing the nonlinear and regime-dependent dynamics of remittance inflows in Bangladesh.</w:t>
      </w:r>
    </w:p>
    <w:p w14:paraId="4D61414F" w14:textId="77777777" w:rsidR="00191ABF" w:rsidRPr="0050243A" w:rsidRDefault="00191ABF" w:rsidP="008546EF">
      <w:pPr>
        <w:ind w:right="78"/>
        <w:jc w:val="both"/>
        <w:rPr>
          <w:sz w:val="20"/>
          <w:szCs w:val="20"/>
        </w:rPr>
      </w:pPr>
    </w:p>
    <w:p w14:paraId="27134958" w14:textId="77777777" w:rsidR="00191ABF" w:rsidRDefault="00191ABF" w:rsidP="008546EF">
      <w:pPr>
        <w:ind w:right="78"/>
        <w:rPr>
          <w:b/>
          <w:bCs/>
          <w:color w:val="000000" w:themeColor="text1"/>
          <w:spacing w:val="-2"/>
          <w:sz w:val="20"/>
          <w:szCs w:val="20"/>
        </w:rPr>
      </w:pPr>
      <w:r w:rsidRPr="0050243A">
        <w:rPr>
          <w:b/>
          <w:bCs/>
          <w:color w:val="000000" w:themeColor="text1"/>
          <w:sz w:val="20"/>
          <w:szCs w:val="20"/>
        </w:rPr>
        <w:t>Diagnostics</w:t>
      </w:r>
      <w:r w:rsidRPr="0050243A">
        <w:rPr>
          <w:b/>
          <w:bCs/>
          <w:color w:val="000000" w:themeColor="text1"/>
          <w:spacing w:val="-1"/>
          <w:sz w:val="20"/>
          <w:szCs w:val="20"/>
        </w:rPr>
        <w:t xml:space="preserve"> </w:t>
      </w:r>
      <w:r w:rsidRPr="0050243A">
        <w:rPr>
          <w:b/>
          <w:bCs/>
          <w:color w:val="000000" w:themeColor="text1"/>
          <w:spacing w:val="-2"/>
          <w:sz w:val="20"/>
          <w:szCs w:val="20"/>
        </w:rPr>
        <w:t>Test</w:t>
      </w:r>
    </w:p>
    <w:p w14:paraId="7B5D1B80" w14:textId="77777777" w:rsidR="000B7304" w:rsidRPr="0050243A" w:rsidRDefault="000B7304" w:rsidP="008546EF">
      <w:pPr>
        <w:ind w:right="78"/>
        <w:rPr>
          <w:b/>
          <w:bCs/>
          <w:color w:val="000000" w:themeColor="text1"/>
          <w:spacing w:val="-2"/>
          <w:sz w:val="20"/>
          <w:szCs w:val="20"/>
        </w:rPr>
      </w:pPr>
    </w:p>
    <w:p w14:paraId="29F1800C" w14:textId="77777777" w:rsidR="00191ABF" w:rsidRDefault="00191ABF" w:rsidP="000B7304">
      <w:pPr>
        <w:spacing w:line="324" w:lineRule="auto"/>
        <w:ind w:right="79"/>
        <w:jc w:val="both"/>
        <w:rPr>
          <w:color w:val="000000" w:themeColor="text1"/>
          <w:sz w:val="20"/>
          <w:szCs w:val="20"/>
        </w:rPr>
      </w:pPr>
      <w:r w:rsidRPr="0050243A">
        <w:rPr>
          <w:color w:val="000000" w:themeColor="text1"/>
          <w:sz w:val="20"/>
          <w:szCs w:val="20"/>
        </w:rPr>
        <w:t xml:space="preserve">Table 7 reports the diagnostic test results for the two regimes based on government effectiveness. In Regime 1, both the Shapiro-Wilk test for normality, the Breusch-Godfrey test for serial correlation, and the Box-Ljung test for autocorrelation yield statistically significant results at the 5% level. This suggests a clear violation of the normality assumption and the presence of serial correlation and autocorrelation in the residuals, potentially indicating model misspecification or omitted variables in this regime. However, the Breusch-Pagan test for heteroskedasticity suggests that residuals are homoscedastic, meaning the variance of errors remains constant. </w:t>
      </w:r>
    </w:p>
    <w:p w14:paraId="785043B6" w14:textId="77777777" w:rsidR="000B7304" w:rsidRPr="0050243A" w:rsidRDefault="000B7304" w:rsidP="008546EF">
      <w:pPr>
        <w:ind w:right="78"/>
        <w:jc w:val="both"/>
        <w:rPr>
          <w:color w:val="000000" w:themeColor="text1"/>
          <w:spacing w:val="-2"/>
          <w:sz w:val="20"/>
          <w:szCs w:val="20"/>
        </w:rPr>
      </w:pPr>
    </w:p>
    <w:p w14:paraId="30CA2659" w14:textId="53994674" w:rsidR="00191ABF" w:rsidRDefault="00191ABF" w:rsidP="008546EF">
      <w:pPr>
        <w:ind w:right="78"/>
        <w:rPr>
          <w:color w:val="000000" w:themeColor="text1"/>
          <w:sz w:val="20"/>
          <w:szCs w:val="20"/>
        </w:rPr>
      </w:pPr>
      <w:r w:rsidRPr="0050243A">
        <w:rPr>
          <w:b/>
          <w:bCs/>
          <w:color w:val="000000" w:themeColor="text1"/>
          <w:sz w:val="20"/>
          <w:szCs w:val="20"/>
        </w:rPr>
        <w:t>Table</w:t>
      </w:r>
      <w:r w:rsidRPr="0050243A">
        <w:rPr>
          <w:b/>
          <w:bCs/>
          <w:color w:val="000000" w:themeColor="text1"/>
          <w:spacing w:val="-2"/>
          <w:sz w:val="20"/>
          <w:szCs w:val="20"/>
        </w:rPr>
        <w:t xml:space="preserve"> </w:t>
      </w:r>
      <w:r w:rsidRPr="0050243A">
        <w:rPr>
          <w:b/>
          <w:bCs/>
          <w:color w:val="000000" w:themeColor="text1"/>
          <w:sz w:val="20"/>
          <w:szCs w:val="20"/>
        </w:rPr>
        <w:t>7:</w:t>
      </w:r>
      <w:r w:rsidRPr="0050243A">
        <w:rPr>
          <w:color w:val="000000" w:themeColor="text1"/>
          <w:spacing w:val="-13"/>
          <w:sz w:val="20"/>
          <w:szCs w:val="20"/>
        </w:rPr>
        <w:t xml:space="preserve"> </w:t>
      </w:r>
      <w:r w:rsidRPr="0050243A">
        <w:rPr>
          <w:color w:val="000000" w:themeColor="text1"/>
          <w:sz w:val="20"/>
          <w:szCs w:val="20"/>
        </w:rPr>
        <w:t>Regime-</w:t>
      </w:r>
      <w:r w:rsidR="000B7304">
        <w:rPr>
          <w:color w:val="000000" w:themeColor="text1"/>
          <w:sz w:val="20"/>
          <w:szCs w:val="20"/>
        </w:rPr>
        <w:t>S</w:t>
      </w:r>
      <w:r w:rsidRPr="0050243A">
        <w:rPr>
          <w:color w:val="000000" w:themeColor="text1"/>
          <w:sz w:val="20"/>
          <w:szCs w:val="20"/>
        </w:rPr>
        <w:t xml:space="preserve">pecific </w:t>
      </w:r>
      <w:r w:rsidR="000B7304">
        <w:rPr>
          <w:color w:val="000000" w:themeColor="text1"/>
          <w:sz w:val="20"/>
          <w:szCs w:val="20"/>
        </w:rPr>
        <w:t>D</w:t>
      </w:r>
      <w:r w:rsidRPr="0050243A">
        <w:rPr>
          <w:color w:val="000000" w:themeColor="text1"/>
          <w:sz w:val="20"/>
          <w:szCs w:val="20"/>
        </w:rPr>
        <w:t xml:space="preserve">iagnostic </w:t>
      </w:r>
      <w:r w:rsidR="000B7304">
        <w:rPr>
          <w:color w:val="000000" w:themeColor="text1"/>
          <w:sz w:val="20"/>
          <w:szCs w:val="20"/>
        </w:rPr>
        <w:t>T</w:t>
      </w:r>
      <w:r w:rsidRPr="0050243A">
        <w:rPr>
          <w:color w:val="000000" w:themeColor="text1"/>
          <w:sz w:val="20"/>
          <w:szCs w:val="20"/>
        </w:rPr>
        <w:t xml:space="preserve">est </w:t>
      </w:r>
      <w:r w:rsidR="000B7304">
        <w:rPr>
          <w:color w:val="000000" w:themeColor="text1"/>
          <w:sz w:val="20"/>
          <w:szCs w:val="20"/>
        </w:rPr>
        <w:t>R</w:t>
      </w:r>
      <w:r w:rsidRPr="0050243A">
        <w:rPr>
          <w:color w:val="000000" w:themeColor="text1"/>
          <w:sz w:val="20"/>
          <w:szCs w:val="20"/>
        </w:rPr>
        <w:t xml:space="preserve">esults for the TVAR </w:t>
      </w:r>
      <w:r w:rsidR="000B7304">
        <w:rPr>
          <w:color w:val="000000" w:themeColor="text1"/>
          <w:sz w:val="20"/>
          <w:szCs w:val="20"/>
        </w:rPr>
        <w:t>M</w:t>
      </w:r>
      <w:r w:rsidRPr="0050243A">
        <w:rPr>
          <w:color w:val="000000" w:themeColor="text1"/>
          <w:sz w:val="20"/>
          <w:szCs w:val="20"/>
        </w:rPr>
        <w:t>odel</w:t>
      </w:r>
    </w:p>
    <w:p w14:paraId="5C86BA25" w14:textId="77777777" w:rsidR="000B7304" w:rsidRPr="0050243A" w:rsidRDefault="000B7304" w:rsidP="008546EF">
      <w:pPr>
        <w:ind w:right="78"/>
        <w:rPr>
          <w:color w:val="000000" w:themeColor="text1"/>
          <w:sz w:val="20"/>
          <w:szCs w:val="20"/>
        </w:rPr>
      </w:pPr>
    </w:p>
    <w:tbl>
      <w:tblPr>
        <w:tblW w:w="7698" w:type="dxa"/>
        <w:tblInd w:w="10"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93"/>
        <w:gridCol w:w="1823"/>
        <w:gridCol w:w="1179"/>
        <w:gridCol w:w="1500"/>
        <w:gridCol w:w="1503"/>
      </w:tblGrid>
      <w:tr w:rsidR="00191ABF" w:rsidRPr="0050243A" w14:paraId="16EE6683" w14:textId="77777777" w:rsidTr="000B7304">
        <w:trPr>
          <w:trHeight w:val="821"/>
        </w:trPr>
        <w:tc>
          <w:tcPr>
            <w:tcW w:w="1693" w:type="dxa"/>
            <w:vMerge w:val="restart"/>
          </w:tcPr>
          <w:p w14:paraId="562E03F1" w14:textId="77777777" w:rsidR="00191ABF" w:rsidRPr="0050243A" w:rsidRDefault="00191ABF" w:rsidP="008546EF">
            <w:pPr>
              <w:pStyle w:val="TableParagraph"/>
              <w:ind w:right="78"/>
              <w:rPr>
                <w:b/>
                <w:bCs/>
                <w:color w:val="000000" w:themeColor="text1"/>
                <w:sz w:val="20"/>
                <w:szCs w:val="20"/>
              </w:rPr>
            </w:pPr>
          </w:p>
          <w:p w14:paraId="3E5A05B3"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Test</w:t>
            </w:r>
            <w:r w:rsidRPr="0050243A">
              <w:rPr>
                <w:b/>
                <w:bCs/>
                <w:color w:val="000000" w:themeColor="text1"/>
                <w:spacing w:val="-1"/>
                <w:sz w:val="20"/>
                <w:szCs w:val="20"/>
              </w:rPr>
              <w:t xml:space="preserve"> </w:t>
            </w:r>
            <w:r w:rsidRPr="0050243A">
              <w:rPr>
                <w:b/>
                <w:bCs/>
                <w:color w:val="000000" w:themeColor="text1"/>
                <w:spacing w:val="-2"/>
                <w:sz w:val="20"/>
                <w:szCs w:val="20"/>
              </w:rPr>
              <w:t>Statistics</w:t>
            </w:r>
          </w:p>
        </w:tc>
        <w:tc>
          <w:tcPr>
            <w:tcW w:w="3002" w:type="dxa"/>
            <w:gridSpan w:val="2"/>
          </w:tcPr>
          <w:p w14:paraId="1E997301"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Regime</w:t>
            </w:r>
            <w:r w:rsidRPr="0050243A">
              <w:rPr>
                <w:b/>
                <w:bCs/>
                <w:color w:val="000000" w:themeColor="text1"/>
                <w:spacing w:val="-5"/>
                <w:sz w:val="20"/>
                <w:szCs w:val="20"/>
              </w:rPr>
              <w:t xml:space="preserve"> 1:</w:t>
            </w:r>
          </w:p>
          <w:p w14:paraId="7FDDB212"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Govt. effectiveness ≤ -0.0103 Percentage</w:t>
            </w:r>
            <w:r w:rsidRPr="0050243A">
              <w:rPr>
                <w:b/>
                <w:bCs/>
                <w:color w:val="000000" w:themeColor="text1"/>
                <w:spacing w:val="-15"/>
                <w:sz w:val="20"/>
                <w:szCs w:val="20"/>
              </w:rPr>
              <w:t xml:space="preserve"> </w:t>
            </w:r>
            <w:r w:rsidRPr="0050243A">
              <w:rPr>
                <w:b/>
                <w:bCs/>
                <w:color w:val="000000" w:themeColor="text1"/>
                <w:sz w:val="20"/>
                <w:szCs w:val="20"/>
              </w:rPr>
              <w:t>of</w:t>
            </w:r>
            <w:r w:rsidRPr="0050243A">
              <w:rPr>
                <w:b/>
                <w:bCs/>
                <w:color w:val="000000" w:themeColor="text1"/>
                <w:spacing w:val="-15"/>
                <w:sz w:val="20"/>
                <w:szCs w:val="20"/>
              </w:rPr>
              <w:t xml:space="preserve"> </w:t>
            </w:r>
            <w:r w:rsidRPr="0050243A">
              <w:rPr>
                <w:b/>
                <w:bCs/>
                <w:color w:val="000000" w:themeColor="text1"/>
                <w:sz w:val="20"/>
                <w:szCs w:val="20"/>
              </w:rPr>
              <w:t>observation=52%</w:t>
            </w:r>
          </w:p>
        </w:tc>
        <w:tc>
          <w:tcPr>
            <w:tcW w:w="3002" w:type="dxa"/>
            <w:gridSpan w:val="2"/>
          </w:tcPr>
          <w:p w14:paraId="77054C08"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Regime</w:t>
            </w:r>
            <w:r w:rsidRPr="0050243A">
              <w:rPr>
                <w:b/>
                <w:bCs/>
                <w:color w:val="000000" w:themeColor="text1"/>
                <w:spacing w:val="-5"/>
                <w:sz w:val="20"/>
                <w:szCs w:val="20"/>
              </w:rPr>
              <w:t xml:space="preserve"> 2:</w:t>
            </w:r>
          </w:p>
          <w:p w14:paraId="2142B38A"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Govt. effectiveness &gt; -0.0103 Percentage</w:t>
            </w:r>
            <w:r w:rsidRPr="0050243A">
              <w:rPr>
                <w:b/>
                <w:bCs/>
                <w:color w:val="000000" w:themeColor="text1"/>
                <w:spacing w:val="-15"/>
                <w:sz w:val="20"/>
                <w:szCs w:val="20"/>
              </w:rPr>
              <w:t xml:space="preserve"> </w:t>
            </w:r>
            <w:r w:rsidRPr="0050243A">
              <w:rPr>
                <w:b/>
                <w:bCs/>
                <w:color w:val="000000" w:themeColor="text1"/>
                <w:sz w:val="20"/>
                <w:szCs w:val="20"/>
              </w:rPr>
              <w:t>of</w:t>
            </w:r>
            <w:r w:rsidRPr="0050243A">
              <w:rPr>
                <w:b/>
                <w:bCs/>
                <w:color w:val="000000" w:themeColor="text1"/>
                <w:spacing w:val="-15"/>
                <w:sz w:val="20"/>
                <w:szCs w:val="20"/>
              </w:rPr>
              <w:t xml:space="preserve"> </w:t>
            </w:r>
            <w:r w:rsidRPr="0050243A">
              <w:rPr>
                <w:b/>
                <w:bCs/>
                <w:color w:val="000000" w:themeColor="text1"/>
                <w:sz w:val="20"/>
                <w:szCs w:val="20"/>
              </w:rPr>
              <w:t>observation=48%</w:t>
            </w:r>
          </w:p>
        </w:tc>
      </w:tr>
      <w:tr w:rsidR="00191ABF" w:rsidRPr="0050243A" w14:paraId="50E0FB28" w14:textId="77777777" w:rsidTr="000B7304">
        <w:trPr>
          <w:trHeight w:val="273"/>
        </w:trPr>
        <w:tc>
          <w:tcPr>
            <w:tcW w:w="1693" w:type="dxa"/>
            <w:vMerge/>
          </w:tcPr>
          <w:p w14:paraId="52DF7DF7" w14:textId="77777777" w:rsidR="00191ABF" w:rsidRPr="0050243A" w:rsidRDefault="00191ABF" w:rsidP="008546EF">
            <w:pPr>
              <w:ind w:right="78"/>
              <w:rPr>
                <w:color w:val="000000" w:themeColor="text1"/>
                <w:sz w:val="20"/>
                <w:szCs w:val="20"/>
              </w:rPr>
            </w:pPr>
          </w:p>
        </w:tc>
        <w:tc>
          <w:tcPr>
            <w:tcW w:w="1823" w:type="dxa"/>
            <w:shd w:val="clear" w:color="auto" w:fill="F1F1F1"/>
          </w:tcPr>
          <w:p w14:paraId="62F0466B"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Test</w:t>
            </w:r>
            <w:r w:rsidRPr="0050243A">
              <w:rPr>
                <w:b/>
                <w:bCs/>
                <w:color w:val="000000" w:themeColor="text1"/>
                <w:spacing w:val="-1"/>
                <w:sz w:val="20"/>
                <w:szCs w:val="20"/>
              </w:rPr>
              <w:t xml:space="preserve"> </w:t>
            </w:r>
            <w:r w:rsidRPr="0050243A">
              <w:rPr>
                <w:b/>
                <w:bCs/>
                <w:color w:val="000000" w:themeColor="text1"/>
                <w:spacing w:val="-2"/>
                <w:sz w:val="20"/>
                <w:szCs w:val="20"/>
              </w:rPr>
              <w:t>Statistic</w:t>
            </w:r>
          </w:p>
        </w:tc>
        <w:tc>
          <w:tcPr>
            <w:tcW w:w="1178" w:type="dxa"/>
            <w:shd w:val="clear" w:color="auto" w:fill="F1F1F1"/>
          </w:tcPr>
          <w:p w14:paraId="36CA60F8"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pacing w:val="-2"/>
                <w:sz w:val="20"/>
                <w:szCs w:val="20"/>
              </w:rPr>
              <w:t>P-value</w:t>
            </w:r>
          </w:p>
        </w:tc>
        <w:tc>
          <w:tcPr>
            <w:tcW w:w="1500" w:type="dxa"/>
            <w:shd w:val="clear" w:color="auto" w:fill="F1F1F1"/>
          </w:tcPr>
          <w:p w14:paraId="0CF6EBBB"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z w:val="20"/>
                <w:szCs w:val="20"/>
              </w:rPr>
              <w:t>Test</w:t>
            </w:r>
            <w:r w:rsidRPr="0050243A">
              <w:rPr>
                <w:b/>
                <w:bCs/>
                <w:color w:val="000000" w:themeColor="text1"/>
                <w:spacing w:val="-1"/>
                <w:sz w:val="20"/>
                <w:szCs w:val="20"/>
              </w:rPr>
              <w:t xml:space="preserve"> </w:t>
            </w:r>
            <w:r w:rsidRPr="0050243A">
              <w:rPr>
                <w:b/>
                <w:bCs/>
                <w:color w:val="000000" w:themeColor="text1"/>
                <w:spacing w:val="-2"/>
                <w:sz w:val="20"/>
                <w:szCs w:val="20"/>
              </w:rPr>
              <w:t>Statistic</w:t>
            </w:r>
          </w:p>
        </w:tc>
        <w:tc>
          <w:tcPr>
            <w:tcW w:w="1501" w:type="dxa"/>
            <w:shd w:val="clear" w:color="auto" w:fill="F1F1F1"/>
          </w:tcPr>
          <w:p w14:paraId="77BE0C0B" w14:textId="77777777" w:rsidR="00191ABF" w:rsidRPr="0050243A" w:rsidRDefault="00191ABF" w:rsidP="008546EF">
            <w:pPr>
              <w:pStyle w:val="TableParagraph"/>
              <w:ind w:right="78"/>
              <w:rPr>
                <w:b/>
                <w:bCs/>
                <w:color w:val="000000" w:themeColor="text1"/>
                <w:sz w:val="20"/>
                <w:szCs w:val="20"/>
              </w:rPr>
            </w:pPr>
            <w:r w:rsidRPr="0050243A">
              <w:rPr>
                <w:b/>
                <w:bCs/>
                <w:color w:val="000000" w:themeColor="text1"/>
                <w:spacing w:val="-2"/>
                <w:sz w:val="20"/>
                <w:szCs w:val="20"/>
              </w:rPr>
              <w:t>P-value</w:t>
            </w:r>
          </w:p>
        </w:tc>
      </w:tr>
      <w:tr w:rsidR="00191ABF" w:rsidRPr="0050243A" w14:paraId="42DC63B0" w14:textId="77777777" w:rsidTr="000B7304">
        <w:trPr>
          <w:trHeight w:val="273"/>
        </w:trPr>
        <w:tc>
          <w:tcPr>
            <w:tcW w:w="1693" w:type="dxa"/>
          </w:tcPr>
          <w:p w14:paraId="620FFC6E" w14:textId="77777777" w:rsidR="00191ABF" w:rsidRPr="0050243A" w:rsidRDefault="00191ABF" w:rsidP="008546EF">
            <w:pPr>
              <w:pStyle w:val="TableParagraph"/>
              <w:ind w:right="78"/>
              <w:rPr>
                <w:color w:val="000000" w:themeColor="text1"/>
                <w:sz w:val="20"/>
                <w:szCs w:val="20"/>
              </w:rPr>
            </w:pPr>
            <w:r w:rsidRPr="0050243A">
              <w:rPr>
                <w:color w:val="000000" w:themeColor="text1"/>
                <w:sz w:val="20"/>
                <w:szCs w:val="20"/>
              </w:rPr>
              <w:t>Serial</w:t>
            </w:r>
            <w:r w:rsidRPr="0050243A">
              <w:rPr>
                <w:color w:val="000000" w:themeColor="text1"/>
                <w:spacing w:val="-3"/>
                <w:sz w:val="20"/>
                <w:szCs w:val="20"/>
              </w:rPr>
              <w:t xml:space="preserve"> </w:t>
            </w:r>
            <w:r w:rsidRPr="0050243A">
              <w:rPr>
                <w:color w:val="000000" w:themeColor="text1"/>
                <w:spacing w:val="-2"/>
                <w:sz w:val="20"/>
                <w:szCs w:val="20"/>
              </w:rPr>
              <w:t>Correlation</w:t>
            </w:r>
          </w:p>
        </w:tc>
        <w:tc>
          <w:tcPr>
            <w:tcW w:w="1823" w:type="dxa"/>
          </w:tcPr>
          <w:p w14:paraId="1A53EC11"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6.3257</w:t>
            </w:r>
          </w:p>
        </w:tc>
        <w:tc>
          <w:tcPr>
            <w:tcW w:w="1178" w:type="dxa"/>
          </w:tcPr>
          <w:p w14:paraId="2094156E"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0.0423**</w:t>
            </w:r>
          </w:p>
        </w:tc>
        <w:tc>
          <w:tcPr>
            <w:tcW w:w="1500" w:type="dxa"/>
          </w:tcPr>
          <w:p w14:paraId="6C06DAD9"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0.2521</w:t>
            </w:r>
          </w:p>
        </w:tc>
        <w:tc>
          <w:tcPr>
            <w:tcW w:w="1501" w:type="dxa"/>
          </w:tcPr>
          <w:p w14:paraId="5E06B862"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0.882</w:t>
            </w:r>
          </w:p>
        </w:tc>
      </w:tr>
      <w:tr w:rsidR="00191ABF" w:rsidRPr="0050243A" w14:paraId="5AA7E0EA" w14:textId="77777777" w:rsidTr="000B7304">
        <w:trPr>
          <w:trHeight w:val="273"/>
        </w:trPr>
        <w:tc>
          <w:tcPr>
            <w:tcW w:w="1693" w:type="dxa"/>
            <w:shd w:val="clear" w:color="auto" w:fill="F1F1F1"/>
          </w:tcPr>
          <w:p w14:paraId="1BE939D8"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Autocorrelation</w:t>
            </w:r>
          </w:p>
        </w:tc>
        <w:tc>
          <w:tcPr>
            <w:tcW w:w="1823" w:type="dxa"/>
            <w:shd w:val="clear" w:color="auto" w:fill="F1F1F1"/>
          </w:tcPr>
          <w:p w14:paraId="5D5CE451"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7.7749</w:t>
            </w:r>
          </w:p>
        </w:tc>
        <w:tc>
          <w:tcPr>
            <w:tcW w:w="1178" w:type="dxa"/>
            <w:shd w:val="clear" w:color="auto" w:fill="F1F1F1"/>
          </w:tcPr>
          <w:p w14:paraId="4FAFD0E4"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0.0205**</w:t>
            </w:r>
          </w:p>
        </w:tc>
        <w:tc>
          <w:tcPr>
            <w:tcW w:w="1500" w:type="dxa"/>
            <w:shd w:val="clear" w:color="auto" w:fill="F1F1F1"/>
          </w:tcPr>
          <w:p w14:paraId="26ED9006"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0.2947</w:t>
            </w:r>
          </w:p>
        </w:tc>
        <w:tc>
          <w:tcPr>
            <w:tcW w:w="1501" w:type="dxa"/>
            <w:shd w:val="clear" w:color="auto" w:fill="F1F1F1"/>
          </w:tcPr>
          <w:p w14:paraId="02BAFDD1"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0.863</w:t>
            </w:r>
          </w:p>
        </w:tc>
      </w:tr>
      <w:tr w:rsidR="00191ABF" w:rsidRPr="0050243A" w14:paraId="4FBB2ADC" w14:textId="77777777" w:rsidTr="000B7304">
        <w:trPr>
          <w:trHeight w:val="273"/>
        </w:trPr>
        <w:tc>
          <w:tcPr>
            <w:tcW w:w="1693" w:type="dxa"/>
          </w:tcPr>
          <w:p w14:paraId="756C4E5E"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Heteroskedasticity</w:t>
            </w:r>
          </w:p>
        </w:tc>
        <w:tc>
          <w:tcPr>
            <w:tcW w:w="1823" w:type="dxa"/>
          </w:tcPr>
          <w:p w14:paraId="5707696D"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0.70395</w:t>
            </w:r>
          </w:p>
        </w:tc>
        <w:tc>
          <w:tcPr>
            <w:tcW w:w="1178" w:type="dxa"/>
          </w:tcPr>
          <w:p w14:paraId="52646F69"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0.4015</w:t>
            </w:r>
          </w:p>
        </w:tc>
        <w:tc>
          <w:tcPr>
            <w:tcW w:w="1500" w:type="dxa"/>
          </w:tcPr>
          <w:p w14:paraId="7212EFCD"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1.7774</w:t>
            </w:r>
          </w:p>
        </w:tc>
        <w:tc>
          <w:tcPr>
            <w:tcW w:w="1501" w:type="dxa"/>
          </w:tcPr>
          <w:p w14:paraId="5B867173"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0.183</w:t>
            </w:r>
          </w:p>
        </w:tc>
      </w:tr>
      <w:tr w:rsidR="00191ABF" w:rsidRPr="0050243A" w14:paraId="483D3A89" w14:textId="77777777" w:rsidTr="000B7304">
        <w:trPr>
          <w:trHeight w:val="273"/>
        </w:trPr>
        <w:tc>
          <w:tcPr>
            <w:tcW w:w="1693" w:type="dxa"/>
            <w:shd w:val="clear" w:color="auto" w:fill="F1F1F1"/>
          </w:tcPr>
          <w:p w14:paraId="5A680AD8"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Normality</w:t>
            </w:r>
          </w:p>
        </w:tc>
        <w:tc>
          <w:tcPr>
            <w:tcW w:w="1823" w:type="dxa"/>
            <w:shd w:val="clear" w:color="auto" w:fill="F1F1F1"/>
          </w:tcPr>
          <w:p w14:paraId="6474E0E6"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0.31101</w:t>
            </w:r>
          </w:p>
        </w:tc>
        <w:tc>
          <w:tcPr>
            <w:tcW w:w="1178" w:type="dxa"/>
            <w:shd w:val="clear" w:color="auto" w:fill="F1F1F1"/>
          </w:tcPr>
          <w:p w14:paraId="72E4CEFD"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0.0001***</w:t>
            </w:r>
          </w:p>
        </w:tc>
        <w:tc>
          <w:tcPr>
            <w:tcW w:w="1500" w:type="dxa"/>
            <w:shd w:val="clear" w:color="auto" w:fill="F1F1F1"/>
          </w:tcPr>
          <w:p w14:paraId="4EE5AE47"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0.9605</w:t>
            </w:r>
          </w:p>
        </w:tc>
        <w:tc>
          <w:tcPr>
            <w:tcW w:w="1501" w:type="dxa"/>
            <w:shd w:val="clear" w:color="auto" w:fill="F1F1F1"/>
          </w:tcPr>
          <w:p w14:paraId="5C5BC90F" w14:textId="77777777" w:rsidR="00191ABF" w:rsidRPr="0050243A" w:rsidRDefault="00191ABF" w:rsidP="008546EF">
            <w:pPr>
              <w:pStyle w:val="TableParagraph"/>
              <w:ind w:right="78"/>
              <w:rPr>
                <w:color w:val="000000" w:themeColor="text1"/>
                <w:sz w:val="20"/>
                <w:szCs w:val="20"/>
              </w:rPr>
            </w:pPr>
            <w:r w:rsidRPr="0050243A">
              <w:rPr>
                <w:color w:val="000000" w:themeColor="text1"/>
                <w:spacing w:val="-2"/>
                <w:sz w:val="20"/>
                <w:szCs w:val="20"/>
              </w:rPr>
              <w:t>0.791</w:t>
            </w:r>
          </w:p>
        </w:tc>
      </w:tr>
      <w:tr w:rsidR="00191ABF" w:rsidRPr="0050243A" w14:paraId="528CB8F7" w14:textId="77777777" w:rsidTr="000B7304">
        <w:trPr>
          <w:trHeight w:val="1098"/>
        </w:trPr>
        <w:tc>
          <w:tcPr>
            <w:tcW w:w="7698" w:type="dxa"/>
            <w:gridSpan w:val="5"/>
          </w:tcPr>
          <w:p w14:paraId="6FFB7DCC" w14:textId="77777777" w:rsidR="00191ABF" w:rsidRPr="0050243A" w:rsidRDefault="00191ABF" w:rsidP="000B7304">
            <w:pPr>
              <w:pStyle w:val="TableParagraph"/>
              <w:ind w:right="78"/>
              <w:jc w:val="both"/>
              <w:rPr>
                <w:color w:val="000000" w:themeColor="text1"/>
                <w:sz w:val="20"/>
                <w:szCs w:val="20"/>
              </w:rPr>
            </w:pPr>
            <w:r w:rsidRPr="0050243A">
              <w:rPr>
                <w:color w:val="000000" w:themeColor="text1"/>
                <w:sz w:val="20"/>
                <w:szCs w:val="20"/>
              </w:rPr>
              <w:t>A:</w:t>
            </w:r>
            <w:r w:rsidRPr="0050243A">
              <w:rPr>
                <w:color w:val="000000" w:themeColor="text1"/>
                <w:spacing w:val="-7"/>
                <w:sz w:val="20"/>
                <w:szCs w:val="20"/>
              </w:rPr>
              <w:t xml:space="preserve"> </w:t>
            </w:r>
            <w:r w:rsidRPr="0050243A">
              <w:rPr>
                <w:color w:val="000000" w:themeColor="text1"/>
                <w:sz w:val="20"/>
                <w:szCs w:val="20"/>
              </w:rPr>
              <w:t>Breusch-Godfrey</w:t>
            </w:r>
            <w:r w:rsidRPr="0050243A">
              <w:rPr>
                <w:color w:val="000000" w:themeColor="text1"/>
                <w:spacing w:val="-11"/>
                <w:sz w:val="20"/>
                <w:szCs w:val="20"/>
              </w:rPr>
              <w:t xml:space="preserve"> </w:t>
            </w:r>
            <w:r w:rsidRPr="0050243A">
              <w:rPr>
                <w:color w:val="000000" w:themeColor="text1"/>
                <w:sz w:val="20"/>
                <w:szCs w:val="20"/>
              </w:rPr>
              <w:t>test</w:t>
            </w:r>
            <w:r w:rsidRPr="0050243A">
              <w:rPr>
                <w:color w:val="000000" w:themeColor="text1"/>
                <w:spacing w:val="-5"/>
                <w:sz w:val="20"/>
                <w:szCs w:val="20"/>
              </w:rPr>
              <w:t xml:space="preserve"> </w:t>
            </w:r>
            <w:r w:rsidRPr="0050243A">
              <w:rPr>
                <w:color w:val="000000" w:themeColor="text1"/>
                <w:sz w:val="20"/>
                <w:szCs w:val="20"/>
              </w:rPr>
              <w:t>to</w:t>
            </w:r>
            <w:r w:rsidRPr="0050243A">
              <w:rPr>
                <w:color w:val="000000" w:themeColor="text1"/>
                <w:spacing w:val="-7"/>
                <w:sz w:val="20"/>
                <w:szCs w:val="20"/>
              </w:rPr>
              <w:t xml:space="preserve"> </w:t>
            </w:r>
            <w:r w:rsidRPr="0050243A">
              <w:rPr>
                <w:color w:val="000000" w:themeColor="text1"/>
                <w:sz w:val="20"/>
                <w:szCs w:val="20"/>
              </w:rPr>
              <w:t>detect</w:t>
            </w:r>
            <w:r w:rsidRPr="0050243A">
              <w:rPr>
                <w:color w:val="000000" w:themeColor="text1"/>
                <w:spacing w:val="-7"/>
                <w:sz w:val="20"/>
                <w:szCs w:val="20"/>
              </w:rPr>
              <w:t xml:space="preserve"> </w:t>
            </w:r>
            <w:r w:rsidRPr="0050243A">
              <w:rPr>
                <w:color w:val="000000" w:themeColor="text1"/>
                <w:sz w:val="20"/>
                <w:szCs w:val="20"/>
              </w:rPr>
              <w:t>serial</w:t>
            </w:r>
            <w:r w:rsidRPr="0050243A">
              <w:rPr>
                <w:color w:val="000000" w:themeColor="text1"/>
                <w:spacing w:val="-7"/>
                <w:sz w:val="20"/>
                <w:szCs w:val="20"/>
              </w:rPr>
              <w:t xml:space="preserve"> </w:t>
            </w:r>
            <w:r w:rsidRPr="0050243A">
              <w:rPr>
                <w:color w:val="000000" w:themeColor="text1"/>
                <w:sz w:val="20"/>
                <w:szCs w:val="20"/>
              </w:rPr>
              <w:t>correlation B: Box-Ljung test for checking autocorrelation</w:t>
            </w:r>
          </w:p>
          <w:p w14:paraId="1E15E7C2" w14:textId="77777777" w:rsidR="00191ABF" w:rsidRPr="0050243A" w:rsidRDefault="00191ABF" w:rsidP="008546EF">
            <w:pPr>
              <w:pStyle w:val="TableParagraph"/>
              <w:ind w:right="78"/>
              <w:rPr>
                <w:color w:val="000000" w:themeColor="text1"/>
                <w:sz w:val="20"/>
                <w:szCs w:val="20"/>
              </w:rPr>
            </w:pPr>
            <w:r w:rsidRPr="0050243A">
              <w:rPr>
                <w:color w:val="000000" w:themeColor="text1"/>
                <w:sz w:val="20"/>
                <w:szCs w:val="20"/>
              </w:rPr>
              <w:t>C:</w:t>
            </w:r>
            <w:r w:rsidRPr="0050243A">
              <w:rPr>
                <w:color w:val="000000" w:themeColor="text1"/>
                <w:spacing w:val="-7"/>
                <w:sz w:val="20"/>
                <w:szCs w:val="20"/>
              </w:rPr>
              <w:t xml:space="preserve"> </w:t>
            </w:r>
            <w:r w:rsidRPr="0050243A">
              <w:rPr>
                <w:color w:val="000000" w:themeColor="text1"/>
                <w:sz w:val="20"/>
                <w:szCs w:val="20"/>
              </w:rPr>
              <w:t>Breusch-Pagan</w:t>
            </w:r>
            <w:r w:rsidRPr="0050243A">
              <w:rPr>
                <w:color w:val="000000" w:themeColor="text1"/>
                <w:spacing w:val="-7"/>
                <w:sz w:val="20"/>
                <w:szCs w:val="20"/>
              </w:rPr>
              <w:t xml:space="preserve"> </w:t>
            </w:r>
            <w:r w:rsidRPr="0050243A">
              <w:rPr>
                <w:color w:val="000000" w:themeColor="text1"/>
                <w:sz w:val="20"/>
                <w:szCs w:val="20"/>
              </w:rPr>
              <w:t>test</w:t>
            </w:r>
            <w:r w:rsidRPr="0050243A">
              <w:rPr>
                <w:color w:val="000000" w:themeColor="text1"/>
                <w:spacing w:val="-7"/>
                <w:sz w:val="20"/>
                <w:szCs w:val="20"/>
              </w:rPr>
              <w:t xml:space="preserve"> </w:t>
            </w:r>
            <w:r w:rsidRPr="0050243A">
              <w:rPr>
                <w:color w:val="000000" w:themeColor="text1"/>
                <w:sz w:val="20"/>
                <w:szCs w:val="20"/>
              </w:rPr>
              <w:t>to</w:t>
            </w:r>
            <w:r w:rsidRPr="0050243A">
              <w:rPr>
                <w:color w:val="000000" w:themeColor="text1"/>
                <w:spacing w:val="-5"/>
                <w:sz w:val="20"/>
                <w:szCs w:val="20"/>
              </w:rPr>
              <w:t xml:space="preserve"> </w:t>
            </w:r>
            <w:r w:rsidRPr="0050243A">
              <w:rPr>
                <w:color w:val="000000" w:themeColor="text1"/>
                <w:sz w:val="20"/>
                <w:szCs w:val="20"/>
              </w:rPr>
              <w:t>assess</w:t>
            </w:r>
            <w:r w:rsidRPr="0050243A">
              <w:rPr>
                <w:color w:val="000000" w:themeColor="text1"/>
                <w:spacing w:val="-7"/>
                <w:sz w:val="20"/>
                <w:szCs w:val="20"/>
              </w:rPr>
              <w:t xml:space="preserve"> </w:t>
            </w:r>
            <w:r w:rsidRPr="0050243A">
              <w:rPr>
                <w:color w:val="000000" w:themeColor="text1"/>
                <w:sz w:val="20"/>
                <w:szCs w:val="20"/>
              </w:rPr>
              <w:t>residual</w:t>
            </w:r>
            <w:r w:rsidRPr="0050243A">
              <w:rPr>
                <w:color w:val="000000" w:themeColor="text1"/>
                <w:spacing w:val="-7"/>
                <w:sz w:val="20"/>
                <w:szCs w:val="20"/>
              </w:rPr>
              <w:t xml:space="preserve"> </w:t>
            </w:r>
            <w:r w:rsidRPr="0050243A">
              <w:rPr>
                <w:color w:val="000000" w:themeColor="text1"/>
                <w:sz w:val="20"/>
                <w:szCs w:val="20"/>
              </w:rPr>
              <w:t>heteroskedasticity</w:t>
            </w:r>
          </w:p>
          <w:p w14:paraId="4968BFA3" w14:textId="77777777" w:rsidR="00191ABF" w:rsidRPr="0050243A" w:rsidRDefault="00191ABF" w:rsidP="008546EF">
            <w:pPr>
              <w:pStyle w:val="TableParagraph"/>
              <w:ind w:right="78"/>
              <w:rPr>
                <w:color w:val="000000" w:themeColor="text1"/>
                <w:sz w:val="20"/>
                <w:szCs w:val="20"/>
              </w:rPr>
            </w:pPr>
            <w:r w:rsidRPr="0050243A">
              <w:rPr>
                <w:color w:val="000000" w:themeColor="text1"/>
                <w:sz w:val="20"/>
                <w:szCs w:val="20"/>
              </w:rPr>
              <w:t>D: Shapiro-Wilk test to evaluate normality</w:t>
            </w:r>
          </w:p>
        </w:tc>
      </w:tr>
    </w:tbl>
    <w:p w14:paraId="7BA0B305" w14:textId="77777777" w:rsidR="00191ABF" w:rsidRPr="000B7304" w:rsidRDefault="00191ABF" w:rsidP="008546EF">
      <w:pPr>
        <w:pStyle w:val="BodyText"/>
        <w:spacing w:after="0"/>
        <w:ind w:right="78"/>
        <w:rPr>
          <w:color w:val="000000" w:themeColor="text1"/>
          <w:sz w:val="18"/>
          <w:szCs w:val="18"/>
        </w:rPr>
      </w:pPr>
      <w:r w:rsidRPr="000B7304">
        <w:rPr>
          <w:color w:val="000000" w:themeColor="text1"/>
          <w:sz w:val="18"/>
          <w:szCs w:val="18"/>
        </w:rPr>
        <w:t>Note:</w:t>
      </w:r>
      <w:r w:rsidRPr="000B7304">
        <w:rPr>
          <w:color w:val="000000" w:themeColor="text1"/>
          <w:spacing w:val="-1"/>
          <w:sz w:val="18"/>
          <w:szCs w:val="18"/>
        </w:rPr>
        <w:t xml:space="preserve"> </w:t>
      </w:r>
      <w:r w:rsidRPr="000B7304">
        <w:rPr>
          <w:color w:val="000000" w:themeColor="text1"/>
          <w:sz w:val="18"/>
          <w:szCs w:val="18"/>
        </w:rPr>
        <w:t>***;</w:t>
      </w:r>
      <w:r w:rsidRPr="000B7304">
        <w:rPr>
          <w:color w:val="000000" w:themeColor="text1"/>
          <w:spacing w:val="-1"/>
          <w:sz w:val="18"/>
          <w:szCs w:val="18"/>
        </w:rPr>
        <w:t xml:space="preserve"> </w:t>
      </w:r>
      <w:r w:rsidRPr="000B7304">
        <w:rPr>
          <w:color w:val="000000" w:themeColor="text1"/>
          <w:sz w:val="18"/>
          <w:szCs w:val="18"/>
        </w:rPr>
        <w:t>significant at p=0.001,</w:t>
      </w:r>
      <w:r w:rsidRPr="000B7304">
        <w:rPr>
          <w:color w:val="000000" w:themeColor="text1"/>
          <w:spacing w:val="-1"/>
          <w:sz w:val="18"/>
          <w:szCs w:val="18"/>
        </w:rPr>
        <w:t xml:space="preserve"> </w:t>
      </w:r>
      <w:r w:rsidRPr="000B7304">
        <w:rPr>
          <w:color w:val="000000" w:themeColor="text1"/>
          <w:sz w:val="18"/>
          <w:szCs w:val="18"/>
        </w:rPr>
        <w:t>**;</w:t>
      </w:r>
      <w:r w:rsidRPr="000B7304">
        <w:rPr>
          <w:color w:val="000000" w:themeColor="text1"/>
          <w:spacing w:val="-1"/>
          <w:sz w:val="18"/>
          <w:szCs w:val="18"/>
        </w:rPr>
        <w:t xml:space="preserve"> </w:t>
      </w:r>
      <w:r w:rsidRPr="000B7304">
        <w:rPr>
          <w:color w:val="000000" w:themeColor="text1"/>
          <w:sz w:val="18"/>
          <w:szCs w:val="18"/>
        </w:rPr>
        <w:t>significant</w:t>
      </w:r>
      <w:r w:rsidRPr="000B7304">
        <w:rPr>
          <w:color w:val="000000" w:themeColor="text1"/>
          <w:spacing w:val="-1"/>
          <w:sz w:val="18"/>
          <w:szCs w:val="18"/>
        </w:rPr>
        <w:t xml:space="preserve"> </w:t>
      </w:r>
      <w:r w:rsidRPr="000B7304">
        <w:rPr>
          <w:color w:val="000000" w:themeColor="text1"/>
          <w:sz w:val="18"/>
          <w:szCs w:val="18"/>
        </w:rPr>
        <w:t>at</w:t>
      </w:r>
      <w:r w:rsidRPr="000B7304">
        <w:rPr>
          <w:color w:val="000000" w:themeColor="text1"/>
          <w:spacing w:val="-1"/>
          <w:sz w:val="18"/>
          <w:szCs w:val="18"/>
        </w:rPr>
        <w:t xml:space="preserve"> </w:t>
      </w:r>
      <w:r w:rsidRPr="000B7304">
        <w:rPr>
          <w:color w:val="000000" w:themeColor="text1"/>
          <w:sz w:val="18"/>
          <w:szCs w:val="18"/>
        </w:rPr>
        <w:t>p=0.05,</w:t>
      </w:r>
      <w:r w:rsidRPr="000B7304">
        <w:rPr>
          <w:color w:val="000000" w:themeColor="text1"/>
          <w:spacing w:val="-1"/>
          <w:sz w:val="18"/>
          <w:szCs w:val="18"/>
        </w:rPr>
        <w:t xml:space="preserve"> </w:t>
      </w:r>
      <w:r w:rsidRPr="000B7304">
        <w:rPr>
          <w:color w:val="000000" w:themeColor="text1"/>
          <w:sz w:val="18"/>
          <w:szCs w:val="18"/>
        </w:rPr>
        <w:t>*; significant</w:t>
      </w:r>
      <w:r w:rsidRPr="000B7304">
        <w:rPr>
          <w:color w:val="000000" w:themeColor="text1"/>
          <w:spacing w:val="-1"/>
          <w:sz w:val="18"/>
          <w:szCs w:val="18"/>
        </w:rPr>
        <w:t xml:space="preserve"> </w:t>
      </w:r>
      <w:r w:rsidRPr="000B7304">
        <w:rPr>
          <w:color w:val="000000" w:themeColor="text1"/>
          <w:sz w:val="18"/>
          <w:szCs w:val="18"/>
        </w:rPr>
        <w:t>at</w:t>
      </w:r>
      <w:r w:rsidRPr="000B7304">
        <w:rPr>
          <w:color w:val="000000" w:themeColor="text1"/>
          <w:spacing w:val="-1"/>
          <w:sz w:val="18"/>
          <w:szCs w:val="18"/>
        </w:rPr>
        <w:t xml:space="preserve"> </w:t>
      </w:r>
      <w:r w:rsidRPr="000B7304">
        <w:rPr>
          <w:color w:val="000000" w:themeColor="text1"/>
          <w:spacing w:val="-2"/>
          <w:sz w:val="18"/>
          <w:szCs w:val="18"/>
        </w:rPr>
        <w:t>p=0.01.</w:t>
      </w:r>
    </w:p>
    <w:p w14:paraId="5F00B81B" w14:textId="77777777" w:rsidR="00191ABF" w:rsidRPr="0050243A" w:rsidRDefault="00191ABF" w:rsidP="008546EF">
      <w:pPr>
        <w:ind w:right="78"/>
        <w:rPr>
          <w:color w:val="000000" w:themeColor="text1"/>
          <w:sz w:val="20"/>
          <w:szCs w:val="20"/>
        </w:rPr>
      </w:pPr>
    </w:p>
    <w:p w14:paraId="39A3D63A" w14:textId="77777777" w:rsidR="00191ABF" w:rsidRPr="0050243A" w:rsidRDefault="00191ABF" w:rsidP="000B7304">
      <w:pPr>
        <w:spacing w:line="324" w:lineRule="auto"/>
        <w:ind w:right="79"/>
        <w:jc w:val="both"/>
        <w:rPr>
          <w:color w:val="000000" w:themeColor="text1"/>
          <w:sz w:val="20"/>
          <w:szCs w:val="20"/>
        </w:rPr>
      </w:pPr>
      <w:r w:rsidRPr="0050243A">
        <w:rPr>
          <w:color w:val="000000" w:themeColor="text1"/>
          <w:sz w:val="20"/>
          <w:szCs w:val="20"/>
        </w:rPr>
        <w:t>In contrast, Regime-2 shows no evidence of serial correlation or autocorrelation, implying that the residuals are independently distributed over time. The Shapiro-Wilk test also indicates normally distributed residuals, satisfying the normality assumption. Similarly, the Breusch-Pagan test reveals no significant heteroskedasticity, indicating homoscedastic residuals. These results suggest the model is statistically more robust and reliable under Regime-2.</w:t>
      </w:r>
    </w:p>
    <w:p w14:paraId="5D5E308E" w14:textId="77777777" w:rsidR="00191ABF" w:rsidRPr="0050243A" w:rsidRDefault="00191ABF" w:rsidP="008546EF">
      <w:pPr>
        <w:ind w:right="78"/>
        <w:jc w:val="both"/>
        <w:rPr>
          <w:color w:val="000000" w:themeColor="text1"/>
          <w:sz w:val="20"/>
          <w:szCs w:val="20"/>
        </w:rPr>
      </w:pPr>
    </w:p>
    <w:p w14:paraId="0179AE5A" w14:textId="77777777" w:rsidR="00191ABF" w:rsidRDefault="00191ABF" w:rsidP="008546EF">
      <w:pPr>
        <w:ind w:right="78"/>
        <w:rPr>
          <w:b/>
          <w:bCs/>
          <w:color w:val="000000" w:themeColor="text1"/>
          <w:sz w:val="20"/>
          <w:szCs w:val="20"/>
        </w:rPr>
      </w:pPr>
      <w:r w:rsidRPr="0050243A">
        <w:rPr>
          <w:b/>
          <w:bCs/>
          <w:color w:val="000000" w:themeColor="text1"/>
          <w:sz w:val="20"/>
          <w:szCs w:val="20"/>
        </w:rPr>
        <w:lastRenderedPageBreak/>
        <w:t>Stability Test</w:t>
      </w:r>
    </w:p>
    <w:p w14:paraId="4F8D8FEF" w14:textId="77777777" w:rsidR="000B7304" w:rsidRPr="0050243A" w:rsidRDefault="000B7304" w:rsidP="008546EF">
      <w:pPr>
        <w:ind w:right="78"/>
        <w:rPr>
          <w:b/>
          <w:bCs/>
          <w:color w:val="000000" w:themeColor="text1"/>
          <w:sz w:val="20"/>
          <w:szCs w:val="20"/>
        </w:rPr>
      </w:pPr>
    </w:p>
    <w:p w14:paraId="3422625A" w14:textId="77777777" w:rsidR="00191ABF" w:rsidRDefault="00191ABF" w:rsidP="000B7304">
      <w:pPr>
        <w:spacing w:line="324" w:lineRule="auto"/>
        <w:ind w:right="79"/>
        <w:jc w:val="both"/>
        <w:rPr>
          <w:color w:val="000000" w:themeColor="text1"/>
          <w:sz w:val="20"/>
          <w:szCs w:val="20"/>
        </w:rPr>
      </w:pPr>
      <w:r w:rsidRPr="0050243A">
        <w:rPr>
          <w:color w:val="000000" w:themeColor="text1"/>
          <w:sz w:val="20"/>
          <w:szCs w:val="20"/>
        </w:rPr>
        <w:t xml:space="preserve">Figure 5 illustrates the modulus of eigenvalues for each regime in the TVAR model to assess system stability. In Regime-1, most eigenvalues lie below the unit threshold, indicating general stability, but one significantly large eigenvalue suggests possible instability or structural irregularity. </w:t>
      </w:r>
    </w:p>
    <w:p w14:paraId="1135A389" w14:textId="77777777" w:rsidR="000B7304" w:rsidRPr="0050243A" w:rsidRDefault="000B7304" w:rsidP="000B7304">
      <w:pPr>
        <w:spacing w:line="324" w:lineRule="auto"/>
        <w:ind w:right="79"/>
        <w:jc w:val="both"/>
        <w:rPr>
          <w:color w:val="000000" w:themeColor="text1"/>
          <w:sz w:val="20"/>
          <w:szCs w:val="20"/>
        </w:rPr>
      </w:pPr>
    </w:p>
    <w:p w14:paraId="2623DE41" w14:textId="77777777" w:rsidR="00191ABF" w:rsidRPr="0050243A" w:rsidRDefault="00191ABF" w:rsidP="008546EF">
      <w:pPr>
        <w:ind w:right="78"/>
        <w:rPr>
          <w:noProof/>
          <w:color w:val="000000" w:themeColor="text1"/>
          <w:sz w:val="20"/>
          <w:szCs w:val="20"/>
        </w:rPr>
      </w:pPr>
      <w:r w:rsidRPr="0050243A">
        <w:rPr>
          <w:noProof/>
          <w:color w:val="000000" w:themeColor="text1"/>
          <w:sz w:val="20"/>
          <w:szCs w:val="20"/>
        </w:rPr>
        <w:drawing>
          <wp:inline distT="0" distB="0" distL="0" distR="0" wp14:anchorId="6AE900EE" wp14:editId="7F8FBD98">
            <wp:extent cx="4875319" cy="159967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4941041" cy="1621238"/>
                    </a:xfrm>
                    <a:prstGeom prst="rect">
                      <a:avLst/>
                    </a:prstGeom>
                  </pic:spPr>
                </pic:pic>
              </a:graphicData>
            </a:graphic>
          </wp:inline>
        </w:drawing>
      </w:r>
    </w:p>
    <w:p w14:paraId="1E5BCCB1" w14:textId="77777777" w:rsidR="000B7304" w:rsidRDefault="000B7304" w:rsidP="008546EF">
      <w:pPr>
        <w:tabs>
          <w:tab w:val="left" w:pos="5651"/>
        </w:tabs>
        <w:ind w:right="78"/>
        <w:jc w:val="center"/>
        <w:rPr>
          <w:b/>
          <w:bCs/>
          <w:color w:val="000000" w:themeColor="text1"/>
          <w:sz w:val="20"/>
          <w:szCs w:val="20"/>
        </w:rPr>
      </w:pPr>
    </w:p>
    <w:p w14:paraId="49123480" w14:textId="498EA03E" w:rsidR="00191ABF" w:rsidRPr="0050243A" w:rsidRDefault="00191ABF" w:rsidP="008546EF">
      <w:pPr>
        <w:tabs>
          <w:tab w:val="left" w:pos="5651"/>
        </w:tabs>
        <w:ind w:right="78"/>
        <w:jc w:val="center"/>
        <w:rPr>
          <w:color w:val="000000" w:themeColor="text1"/>
          <w:sz w:val="20"/>
          <w:szCs w:val="20"/>
        </w:rPr>
      </w:pPr>
      <w:r w:rsidRPr="0050243A">
        <w:rPr>
          <w:b/>
          <w:bCs/>
          <w:color w:val="000000" w:themeColor="text1"/>
          <w:sz w:val="20"/>
          <w:szCs w:val="20"/>
        </w:rPr>
        <w:t>Figure 5</w:t>
      </w:r>
      <w:r w:rsidR="000B7304">
        <w:rPr>
          <w:b/>
          <w:bCs/>
          <w:color w:val="000000" w:themeColor="text1"/>
          <w:sz w:val="20"/>
          <w:szCs w:val="20"/>
        </w:rPr>
        <w:t>.</w:t>
      </w:r>
      <w:r w:rsidRPr="0050243A">
        <w:rPr>
          <w:color w:val="000000" w:themeColor="text1"/>
          <w:sz w:val="20"/>
          <w:szCs w:val="20"/>
        </w:rPr>
        <w:t xml:space="preserve"> Modulus of Eigenvalues by </w:t>
      </w:r>
      <w:r w:rsidR="000B7304">
        <w:rPr>
          <w:color w:val="000000" w:themeColor="text1"/>
          <w:sz w:val="20"/>
          <w:szCs w:val="20"/>
        </w:rPr>
        <w:t>E</w:t>
      </w:r>
      <w:r w:rsidRPr="0050243A">
        <w:rPr>
          <w:color w:val="000000" w:themeColor="text1"/>
          <w:sz w:val="20"/>
          <w:szCs w:val="20"/>
        </w:rPr>
        <w:t>ach Regime for TVAR Model Stability Analysis</w:t>
      </w:r>
    </w:p>
    <w:p w14:paraId="5A74DC44" w14:textId="77777777" w:rsidR="00191ABF" w:rsidRPr="0050243A" w:rsidRDefault="00191ABF" w:rsidP="008546EF">
      <w:pPr>
        <w:ind w:right="78"/>
        <w:rPr>
          <w:color w:val="000000" w:themeColor="text1"/>
          <w:sz w:val="20"/>
          <w:szCs w:val="20"/>
        </w:rPr>
      </w:pPr>
    </w:p>
    <w:p w14:paraId="5033030E" w14:textId="77777777" w:rsidR="00191ABF" w:rsidRPr="0050243A" w:rsidRDefault="00191ABF" w:rsidP="000B7304">
      <w:pPr>
        <w:spacing w:line="324" w:lineRule="auto"/>
        <w:ind w:right="79"/>
        <w:jc w:val="both"/>
        <w:rPr>
          <w:color w:val="000000" w:themeColor="text1"/>
          <w:sz w:val="20"/>
          <w:szCs w:val="20"/>
        </w:rPr>
      </w:pPr>
      <w:r w:rsidRPr="0050243A">
        <w:rPr>
          <w:color w:val="000000" w:themeColor="text1"/>
          <w:sz w:val="20"/>
          <w:szCs w:val="20"/>
        </w:rPr>
        <w:t>In contrast, Regime-2 shows all eigenvalues well within the stable region, confirming dynamic stability. Finally, the figure reveals that while Regime-2 is stable, Regime-1 may experience instability due to regime-specific dynamics.</w:t>
      </w:r>
    </w:p>
    <w:p w14:paraId="50090E92" w14:textId="77777777" w:rsidR="00191ABF" w:rsidRPr="0050243A" w:rsidRDefault="00191ABF" w:rsidP="008546EF">
      <w:pPr>
        <w:ind w:right="78"/>
        <w:rPr>
          <w:color w:val="000000" w:themeColor="text1"/>
          <w:sz w:val="20"/>
          <w:szCs w:val="20"/>
        </w:rPr>
      </w:pPr>
    </w:p>
    <w:p w14:paraId="0680D2C1" w14:textId="77777777" w:rsidR="00191ABF" w:rsidRDefault="00191ABF" w:rsidP="008546EF">
      <w:pPr>
        <w:tabs>
          <w:tab w:val="left" w:pos="2554"/>
        </w:tabs>
        <w:ind w:right="78"/>
        <w:rPr>
          <w:b/>
          <w:bCs/>
          <w:color w:val="000000" w:themeColor="text1"/>
          <w:sz w:val="20"/>
          <w:szCs w:val="20"/>
        </w:rPr>
      </w:pPr>
      <w:r w:rsidRPr="0050243A">
        <w:rPr>
          <w:b/>
          <w:bCs/>
          <w:color w:val="000000" w:themeColor="text1"/>
          <w:sz w:val="20"/>
          <w:szCs w:val="20"/>
        </w:rPr>
        <w:t>4. Discussion</w:t>
      </w:r>
    </w:p>
    <w:p w14:paraId="7C30D570" w14:textId="77777777" w:rsidR="000B7304" w:rsidRPr="0050243A" w:rsidRDefault="000B7304" w:rsidP="008546EF">
      <w:pPr>
        <w:tabs>
          <w:tab w:val="left" w:pos="2554"/>
        </w:tabs>
        <w:ind w:right="78"/>
        <w:rPr>
          <w:b/>
          <w:bCs/>
          <w:color w:val="000000" w:themeColor="text1"/>
          <w:sz w:val="20"/>
          <w:szCs w:val="20"/>
        </w:rPr>
      </w:pPr>
    </w:p>
    <w:p w14:paraId="1721F62E" w14:textId="77777777" w:rsidR="00191ABF" w:rsidRPr="0050243A" w:rsidRDefault="00191ABF" w:rsidP="000B7304">
      <w:pPr>
        <w:tabs>
          <w:tab w:val="left" w:pos="2554"/>
        </w:tabs>
        <w:spacing w:line="324" w:lineRule="auto"/>
        <w:ind w:right="79"/>
        <w:jc w:val="both"/>
        <w:rPr>
          <w:color w:val="000000" w:themeColor="text1"/>
          <w:sz w:val="20"/>
          <w:szCs w:val="20"/>
          <w:shd w:val="clear" w:color="auto" w:fill="FFFFFF"/>
        </w:rPr>
      </w:pPr>
      <w:r w:rsidRPr="0050243A">
        <w:rPr>
          <w:color w:val="000000" w:themeColor="text1"/>
          <w:sz w:val="20"/>
          <w:szCs w:val="20"/>
          <w:shd w:val="clear" w:color="auto" w:fill="FFFFFF"/>
        </w:rPr>
        <w:t xml:space="preserve">This study aims to enhance the accuracy of budget estimation and improve financial forecasting in Bangladesh by addressing the complex and nonlinear dynamics underlying remittance inflows. Initial analyses revealed significant challenges in model selection due to structural breaks and nonlinear interactions among key economic indicators. To overcome these limitations, a TVAR model was adopted, which allows for regime-specific analysis. The findings underscore the regime-dependent nature of remittance behavior, as the TVAR framework effectively captures asymmetric adjustments and nonlinear relationships between remittance inflows and their macroeconomic determinants, providing more nuanced insights into the underlying economic structure. The findings indicate distinct regime-specific determinants of remittance inflows based on government effectiveness. In Regime 1, remittances are primarily driven by core macroeconomic variables, including unemployment, inflation, interest rate spread, corruption, government effectiveness, and overseas employment. In contrast, Regime 2 reflects heightened sensitivity to governance-related factors. In this regime, remittance inflows are significantly influenced by improvements in governance, alongside inflation, interest rate spread, corruption, government effectiveness, GDP per capita, </w:t>
      </w:r>
      <w:r w:rsidRPr="0050243A">
        <w:rPr>
          <w:color w:val="000000" w:themeColor="text1"/>
          <w:sz w:val="20"/>
          <w:szCs w:val="20"/>
          <w:shd w:val="clear" w:color="auto" w:fill="FFFFFF"/>
        </w:rPr>
        <w:lastRenderedPageBreak/>
        <w:t>exchange rate, lending interest rate, political stability, and overseas employment. These results underscore the differential impact of institutional and macroeconomic dynamics across regimes.</w:t>
      </w:r>
      <w:r w:rsidRPr="0050243A">
        <w:rPr>
          <w:color w:val="000000" w:themeColor="text1"/>
          <w:sz w:val="20"/>
          <w:szCs w:val="20"/>
        </w:rPr>
        <w:t xml:space="preserve"> </w:t>
      </w:r>
      <w:r w:rsidRPr="0050243A">
        <w:rPr>
          <w:color w:val="000000" w:themeColor="text1"/>
          <w:sz w:val="20"/>
          <w:szCs w:val="20"/>
          <w:shd w:val="clear" w:color="auto" w:fill="FFFFFF"/>
        </w:rPr>
        <w:t>However, the diagnostic tests indicate that Regime 1 violates key assumptions, including normality and the presence of serial correlation and autocorrelation in the residuals. These findings suggest that the model may not fully capture the underlying data-generating process in this regime, potentially due to omitted variables, structural complexities, or an insufficient lag structure. In this study, no corrective adjustments (such as robust standard errors or alternative specifications) were implemented, which should be acknowledged as a limitation. Future research may address these issues by employing robust inference techniques, extending the lag structure, incorporating additional relevant macroeconomic or institutional variables, or exploring alternative nonlinear specifications (e.g., multi-regime TVAR or regime-dependent variance models). Despite these limitations in Regime 1, the results from Regime 2 satisfy the diagnostic conditions, supporting the overall reliability and validity of the model’s main findings.</w:t>
      </w:r>
    </w:p>
    <w:p w14:paraId="0CEE01CE" w14:textId="77777777" w:rsidR="00191ABF" w:rsidRPr="0050243A" w:rsidRDefault="00191ABF" w:rsidP="008546EF">
      <w:pPr>
        <w:tabs>
          <w:tab w:val="left" w:pos="2554"/>
        </w:tabs>
        <w:ind w:right="78"/>
        <w:jc w:val="both"/>
        <w:rPr>
          <w:color w:val="000000" w:themeColor="text1"/>
          <w:sz w:val="20"/>
          <w:szCs w:val="20"/>
          <w:shd w:val="clear" w:color="auto" w:fill="FFFFFF"/>
        </w:rPr>
      </w:pPr>
    </w:p>
    <w:p w14:paraId="21C7ED11" w14:textId="77777777" w:rsidR="00191ABF" w:rsidRPr="0050243A" w:rsidRDefault="00191ABF" w:rsidP="000B7304">
      <w:pPr>
        <w:tabs>
          <w:tab w:val="left" w:pos="2554"/>
        </w:tabs>
        <w:spacing w:line="324" w:lineRule="auto"/>
        <w:ind w:right="79"/>
        <w:jc w:val="both"/>
        <w:rPr>
          <w:color w:val="000000" w:themeColor="text1"/>
          <w:sz w:val="20"/>
          <w:szCs w:val="20"/>
        </w:rPr>
      </w:pPr>
      <w:r w:rsidRPr="0050243A">
        <w:rPr>
          <w:color w:val="000000" w:themeColor="text1"/>
          <w:sz w:val="20"/>
          <w:szCs w:val="20"/>
        </w:rPr>
        <w:t xml:space="preserve">Empirical evidence highlights that remittance inflows are significantly influenced by macroeconomic and institutional factors, particularly in developing economies like Bangladesh. Several studies affirm that variables such as unemployment, inflation, interest rate spread, exchange rates, and governance quality play a vital role in shaping remittance behavior. Chami et al. emphasized that remittances respond to macroeconomic instability, including inflationary pressures and unemployment, acting as a counter-cyclical financial flow </w:t>
      </w:r>
      <w:sdt>
        <w:sdtPr>
          <w:rPr>
            <w:color w:val="000000"/>
            <w:sz w:val="20"/>
            <w:szCs w:val="20"/>
          </w:rPr>
          <w:tag w:val="MENDELEY_CITATION_v3_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"/>
          <w:id w:val="999242124"/>
          <w:placeholder>
            <w:docPart w:val="F8988425F43A43FC8128AB297A2F446C"/>
          </w:placeholder>
        </w:sdtPr>
        <w:sdtContent>
          <w:r w:rsidRPr="0050243A">
            <w:rPr>
              <w:color w:val="000000"/>
              <w:sz w:val="20"/>
              <w:szCs w:val="20"/>
            </w:rPr>
            <w:t>(Chami et al., 2009)</w:t>
          </w:r>
        </w:sdtContent>
      </w:sdt>
      <w:r w:rsidRPr="0050243A">
        <w:rPr>
          <w:color w:val="000000" w:themeColor="text1"/>
          <w:sz w:val="20"/>
          <w:szCs w:val="20"/>
        </w:rPr>
        <w:t xml:space="preserve">. Similarly, Gupta et al. identified a positive association between good governance, lower corruption, and increased remittance inflows, arguing that institutional quality enhances the efficiency and purposefulness of remittance usage </w:t>
      </w:r>
      <w:sdt>
        <w:sdtPr>
          <w:rPr>
            <w:color w:val="000000"/>
            <w:sz w:val="20"/>
            <w:szCs w:val="20"/>
          </w:rPr>
          <w:tag w:val="MENDELEY_CITATION_v3_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"/>
          <w:id w:val="-211965829"/>
          <w:placeholder>
            <w:docPart w:val="0890C8A736644B5689921F075BC90581"/>
          </w:placeholder>
        </w:sdtPr>
        <w:sdtContent>
          <w:r w:rsidRPr="0050243A">
            <w:rPr>
              <w:color w:val="000000"/>
              <w:sz w:val="20"/>
              <w:szCs w:val="20"/>
            </w:rPr>
            <w:t>(Gupta et al., 2009)</w:t>
          </w:r>
        </w:sdtContent>
      </w:sdt>
      <w:r w:rsidRPr="0050243A">
        <w:rPr>
          <w:color w:val="000000" w:themeColor="text1"/>
          <w:sz w:val="20"/>
          <w:szCs w:val="20"/>
        </w:rPr>
        <w:t xml:space="preserve">. In the context of South Asia, Iqbal and Sattar al. found that real interest rates, exchange rate fluctuations, and political uncertainty significantly affect remittance decisions, particularly where migrants seek to support families facing economic volatility </w:t>
      </w:r>
      <w:sdt>
        <w:sdtPr>
          <w:rPr>
            <w:color w:val="000000"/>
            <w:sz w:val="20"/>
            <w:szCs w:val="20"/>
          </w:rPr>
          <w:tag w:val="MENDELEY_CITATION_v3_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"/>
          <w:id w:val="-24645780"/>
          <w:placeholder>
            <w:docPart w:val="999CC64B8A05416EA18E92B4EEFEAE84"/>
          </w:placeholder>
        </w:sdtPr>
        <w:sdtContent>
          <w:r w:rsidRPr="0050243A">
            <w:rPr>
              <w:color w:val="000000"/>
              <w:sz w:val="20"/>
              <w:szCs w:val="20"/>
            </w:rPr>
            <w:t>(Iqbal &amp; Sattar, 2010)</w:t>
          </w:r>
        </w:sdtContent>
      </w:sdt>
      <w:r w:rsidRPr="0050243A">
        <w:rPr>
          <w:color w:val="000000" w:themeColor="text1"/>
          <w:sz w:val="20"/>
          <w:szCs w:val="20"/>
        </w:rPr>
        <w:t xml:space="preserve">. In a study focused on Bangladesh, employed a VAR model and showed that inflation, GDP per capita, and overseas employment opportunities are statistically significant predictors of remittance flows </w:t>
      </w:r>
      <w:sdt>
        <w:sdtPr>
          <w:rPr>
            <w:color w:val="000000"/>
            <w:sz w:val="20"/>
            <w:szCs w:val="20"/>
          </w:rPr>
          <w:tag w:val="MENDELEY_CITATION_v3_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"/>
          <w:id w:val="-1027715250"/>
          <w:placeholder>
            <w:docPart w:val="D83FB96D2CC1484CA05DC4101CC77D53"/>
          </w:placeholder>
        </w:sdtPr>
        <w:sdtContent>
          <w:r w:rsidRPr="0050243A">
            <w:rPr>
              <w:color w:val="000000"/>
              <w:sz w:val="20"/>
              <w:szCs w:val="20"/>
            </w:rPr>
            <w:t xml:space="preserve">(Al </w:t>
          </w:r>
          <w:proofErr w:type="spellStart"/>
          <w:r w:rsidRPr="0050243A">
            <w:rPr>
              <w:color w:val="000000"/>
              <w:sz w:val="20"/>
              <w:szCs w:val="20"/>
            </w:rPr>
            <w:t>Mosharrafa</w:t>
          </w:r>
          <w:proofErr w:type="spellEnd"/>
          <w:r w:rsidRPr="0050243A">
            <w:rPr>
              <w:color w:val="000000"/>
              <w:sz w:val="20"/>
              <w:szCs w:val="20"/>
            </w:rPr>
            <w:t xml:space="preserve"> et al., 2024)</w:t>
          </w:r>
        </w:sdtContent>
      </w:sdt>
      <w:r w:rsidRPr="0050243A">
        <w:rPr>
          <w:color w:val="000000" w:themeColor="text1"/>
          <w:sz w:val="20"/>
          <w:szCs w:val="20"/>
        </w:rPr>
        <w:t xml:space="preserve">. Their findings suggest that when inflation and interest rate spreads rise, remittance volumes also increase as migrants attempt to buffer their households from economic shocks. </w:t>
      </w:r>
      <w:bookmarkStart w:id="8" w:name="_Hlk226207691"/>
      <w:r w:rsidRPr="0050243A">
        <w:rPr>
          <w:color w:val="000000" w:themeColor="text1"/>
          <w:sz w:val="20"/>
          <w:szCs w:val="20"/>
        </w:rPr>
        <w:t xml:space="preserve">Additionally, Abdulrhman Alamoudi et al., using ARDL and cointegration techniques, highlighted the influence of governance indicators such as political stability, control of corruption, and government effectiveness on remittance behavior in Egypt </w:t>
      </w:r>
      <w:bookmarkEnd w:id="8"/>
      <w:sdt>
        <w:sdtPr>
          <w:rPr>
            <w:color w:val="000000"/>
            <w:sz w:val="20"/>
            <w:szCs w:val="20"/>
          </w:rPr>
          <w:tag w:val="MENDELEY_CITATION_v3_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"/>
          <w:id w:val="-1255282004"/>
          <w:placeholder>
            <w:docPart w:val="CDC66ABC8B924809B6325012F0F72FBB"/>
          </w:placeholder>
        </w:sdtPr>
        <w:sdtContent>
          <w:r w:rsidRPr="0050243A">
            <w:rPr>
              <w:color w:val="000000"/>
              <w:sz w:val="20"/>
              <w:szCs w:val="20"/>
            </w:rPr>
            <w:t>(Alamoudi, 2024)</w:t>
          </w:r>
        </w:sdtContent>
      </w:sdt>
      <w:r w:rsidRPr="0050243A">
        <w:rPr>
          <w:color w:val="000000" w:themeColor="text1"/>
          <w:sz w:val="20"/>
          <w:szCs w:val="20"/>
        </w:rPr>
        <w:t xml:space="preserve">. Their research suggests that better institutional performance encourages formal remittance channels and increases migrant trust in the domestic economic system. Moreover, remittances are often influenced by employment conditions both domestically and </w:t>
      </w:r>
      <w:r w:rsidRPr="0050243A">
        <w:rPr>
          <w:color w:val="000000" w:themeColor="text1"/>
          <w:sz w:val="20"/>
          <w:szCs w:val="20"/>
        </w:rPr>
        <w:lastRenderedPageBreak/>
        <w:t xml:space="preserve">abroad </w:t>
      </w:r>
      <w:sdt>
        <w:sdtPr>
          <w:rPr>
            <w:color w:val="000000"/>
            <w:sz w:val="20"/>
            <w:szCs w:val="20"/>
          </w:rPr>
          <w:tag w:val="MENDELEY_CITATION_v3_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"/>
          <w:id w:val="-209196749"/>
          <w:placeholder>
            <w:docPart w:val="69776D1EAA984CE2A50532202B57AC88"/>
          </w:placeholder>
        </w:sdtPr>
        <w:sdtContent>
          <w:r w:rsidRPr="0050243A">
            <w:rPr>
              <w:color w:val="000000"/>
              <w:sz w:val="20"/>
              <w:szCs w:val="20"/>
            </w:rPr>
            <w:t>(Basu &amp; Roy, 2024)</w:t>
          </w:r>
        </w:sdtContent>
      </w:sdt>
      <w:r w:rsidRPr="0050243A">
        <w:rPr>
          <w:color w:val="000000" w:themeColor="text1"/>
          <w:sz w:val="20"/>
          <w:szCs w:val="20"/>
        </w:rPr>
        <w:t>; better overseas job prospects and higher unemployment rates at home tend to boost remittance inflows, as found in studies by Basu et al. These findings underscore the critical role of strengthening governance, ensuring macroeconomic stability, and utilizing effective policy instruments to sustain remittance inflows. Incorporating these insights into national policy frameworks can enable Bangladesh to enhance the developmental impact of remittances, reduce vulnerability to external shocks, and serve as a model for other remittance-dependent developing economies seeking sustainable growth through external financial flows.</w:t>
      </w:r>
    </w:p>
    <w:p w14:paraId="0DDE659E" w14:textId="77777777" w:rsidR="00191ABF" w:rsidRPr="0050243A" w:rsidRDefault="00191ABF" w:rsidP="008546EF">
      <w:pPr>
        <w:tabs>
          <w:tab w:val="left" w:pos="2554"/>
        </w:tabs>
        <w:ind w:right="78"/>
        <w:jc w:val="both"/>
        <w:rPr>
          <w:color w:val="000000" w:themeColor="text1"/>
          <w:sz w:val="20"/>
          <w:szCs w:val="20"/>
        </w:rPr>
      </w:pPr>
    </w:p>
    <w:p w14:paraId="27ED19F8" w14:textId="77777777" w:rsidR="00191ABF" w:rsidRDefault="00191ABF" w:rsidP="008546EF">
      <w:pPr>
        <w:tabs>
          <w:tab w:val="left" w:pos="2554"/>
        </w:tabs>
        <w:ind w:right="78"/>
        <w:jc w:val="both"/>
        <w:rPr>
          <w:b/>
          <w:bCs/>
          <w:color w:val="000000" w:themeColor="text1"/>
          <w:sz w:val="20"/>
          <w:szCs w:val="20"/>
        </w:rPr>
      </w:pPr>
      <w:r w:rsidRPr="0050243A">
        <w:rPr>
          <w:b/>
          <w:bCs/>
          <w:color w:val="000000" w:themeColor="text1"/>
          <w:sz w:val="20"/>
          <w:szCs w:val="20"/>
        </w:rPr>
        <w:t>5. Conclusion</w:t>
      </w:r>
    </w:p>
    <w:p w14:paraId="24E472CD" w14:textId="77777777" w:rsidR="000B7304" w:rsidRPr="0050243A" w:rsidRDefault="000B7304" w:rsidP="008546EF">
      <w:pPr>
        <w:tabs>
          <w:tab w:val="left" w:pos="2554"/>
        </w:tabs>
        <w:ind w:right="78"/>
        <w:jc w:val="both"/>
        <w:rPr>
          <w:b/>
          <w:bCs/>
          <w:color w:val="000000" w:themeColor="text1"/>
          <w:sz w:val="20"/>
          <w:szCs w:val="20"/>
        </w:rPr>
      </w:pPr>
    </w:p>
    <w:p w14:paraId="4E0A0214" w14:textId="77777777" w:rsidR="00191ABF" w:rsidRPr="0050243A" w:rsidRDefault="00191ABF" w:rsidP="000B7304">
      <w:pPr>
        <w:tabs>
          <w:tab w:val="left" w:pos="2554"/>
        </w:tabs>
        <w:spacing w:line="324" w:lineRule="auto"/>
        <w:ind w:right="79"/>
        <w:jc w:val="both"/>
        <w:rPr>
          <w:color w:val="000000" w:themeColor="text1"/>
          <w:sz w:val="20"/>
          <w:szCs w:val="20"/>
        </w:rPr>
      </w:pPr>
      <w:r w:rsidRPr="0050243A">
        <w:rPr>
          <w:color w:val="000000" w:themeColor="text1"/>
          <w:sz w:val="20"/>
          <w:szCs w:val="20"/>
        </w:rPr>
        <w:t>The authors employed a non-parametric multivariate TVAR model to capture the pronounced nonlinear relationships between remittances and key economic covariates, as indicated by preliminary visual analyses. The proposed methodology involved fitting three regression models to the remittance and related macroeconomic data, with model performance assessed using criteria such as R-squared, AIC, and SSR. The TVAR model effectively captures regime-dependent dynamics, revealing structural variations in remittance behavior under differing economic conditions. By uncovering these nonlinear patterns, the study aims to improve public financial management, enhance policy transparency, and inform evidence-based strategies aligned with Bangladesh’s long-term national development goals. Consequently, the authors recommend the TVAR model as a robust tool for modeling total remittance inflows in Bangladesh.</w:t>
      </w:r>
    </w:p>
    <w:p w14:paraId="70FEA1F0" w14:textId="77777777" w:rsidR="00191ABF" w:rsidRPr="0050243A" w:rsidRDefault="00191ABF" w:rsidP="008546EF">
      <w:pPr>
        <w:tabs>
          <w:tab w:val="left" w:pos="2554"/>
        </w:tabs>
        <w:ind w:right="78"/>
        <w:jc w:val="both"/>
        <w:rPr>
          <w:color w:val="000000" w:themeColor="text1"/>
          <w:sz w:val="20"/>
          <w:szCs w:val="20"/>
        </w:rPr>
      </w:pPr>
    </w:p>
    <w:p w14:paraId="73976ADF" w14:textId="77777777" w:rsidR="00191ABF" w:rsidRPr="0050243A" w:rsidRDefault="00191ABF" w:rsidP="000B7304">
      <w:pPr>
        <w:tabs>
          <w:tab w:val="left" w:pos="2554"/>
        </w:tabs>
        <w:spacing w:line="324" w:lineRule="auto"/>
        <w:ind w:right="79"/>
        <w:jc w:val="both"/>
        <w:rPr>
          <w:color w:val="000000" w:themeColor="text1"/>
          <w:sz w:val="20"/>
          <w:szCs w:val="20"/>
        </w:rPr>
      </w:pPr>
      <w:r w:rsidRPr="0050243A">
        <w:rPr>
          <w:color w:val="000000" w:themeColor="text1"/>
          <w:sz w:val="20"/>
          <w:szCs w:val="20"/>
        </w:rPr>
        <w:t>Based on the study’s findings, several policy recommendations emerge to enhance remittance inflows and their socio-economic impact in Bangladesh. First, prioritizing improvements in governance specifically political stability, government effectiveness, and corruption control is essential to build institutional trust and encourage formal remittance transfers. Second, maintaining macroeconomic stability by effectively managing inflation, exchange rate volatility, and interest rate spreads is critical, given their significant influence on remittance behavior. Third, targeted policies to expand overseas employment opportunities and invest in skill development for migrant workers can drive higher remittance volumes by increasing their earning capacity abroad. Additionally, strengthening formal remittance channels through reduced transaction costs, promotion of digital payment platforms, and public awareness initiatives can help curb informal remittance flows. Finally, future research should incorporate household-level data and consider alternative threshold variables to better capture the complex determinants of remittance inflows, thereby informing more nuanced and effective policy interventions.</w:t>
      </w:r>
    </w:p>
    <w:p w14:paraId="12EBE26D" w14:textId="77777777" w:rsidR="00191ABF" w:rsidRPr="0050243A" w:rsidRDefault="00191ABF" w:rsidP="008546EF">
      <w:pPr>
        <w:tabs>
          <w:tab w:val="left" w:pos="2554"/>
        </w:tabs>
        <w:ind w:right="78"/>
        <w:jc w:val="both"/>
        <w:rPr>
          <w:color w:val="000000" w:themeColor="text1"/>
          <w:sz w:val="20"/>
          <w:szCs w:val="20"/>
        </w:rPr>
      </w:pPr>
    </w:p>
    <w:p w14:paraId="7E5A3B59" w14:textId="77777777" w:rsidR="00191ABF" w:rsidRDefault="00191ABF" w:rsidP="008546EF">
      <w:pPr>
        <w:ind w:right="78"/>
        <w:jc w:val="both"/>
        <w:rPr>
          <w:b/>
          <w:bCs/>
          <w:sz w:val="20"/>
          <w:szCs w:val="20"/>
        </w:rPr>
      </w:pPr>
      <w:r w:rsidRPr="0050243A">
        <w:rPr>
          <w:b/>
          <w:bCs/>
          <w:sz w:val="20"/>
          <w:szCs w:val="20"/>
        </w:rPr>
        <w:lastRenderedPageBreak/>
        <w:t>Acknowledgements</w:t>
      </w:r>
    </w:p>
    <w:p w14:paraId="235E3ABF" w14:textId="77777777" w:rsidR="000B7304" w:rsidRPr="0050243A" w:rsidRDefault="000B7304" w:rsidP="008546EF">
      <w:pPr>
        <w:ind w:right="78"/>
        <w:jc w:val="both"/>
        <w:rPr>
          <w:b/>
          <w:bCs/>
          <w:sz w:val="20"/>
          <w:szCs w:val="20"/>
        </w:rPr>
      </w:pPr>
    </w:p>
    <w:p w14:paraId="66A3B7AC" w14:textId="77777777" w:rsidR="00191ABF" w:rsidRPr="0050243A" w:rsidRDefault="00191ABF" w:rsidP="000B7304">
      <w:pPr>
        <w:spacing w:line="324" w:lineRule="auto"/>
        <w:ind w:right="79"/>
        <w:jc w:val="both"/>
        <w:rPr>
          <w:sz w:val="20"/>
          <w:szCs w:val="20"/>
        </w:rPr>
      </w:pPr>
      <w:r w:rsidRPr="0050243A">
        <w:rPr>
          <w:sz w:val="20"/>
          <w:szCs w:val="20"/>
        </w:rPr>
        <w:t>The authors gratefully acknowledge the World Bank for providing the data used in this analysis.</w:t>
      </w:r>
    </w:p>
    <w:p w14:paraId="31CA2285" w14:textId="77777777" w:rsidR="00191ABF" w:rsidRDefault="00191ABF" w:rsidP="008546EF">
      <w:pPr>
        <w:ind w:right="78"/>
        <w:jc w:val="both"/>
        <w:rPr>
          <w:b/>
          <w:bCs/>
          <w:color w:val="000000" w:themeColor="text1"/>
          <w:sz w:val="20"/>
          <w:szCs w:val="20"/>
        </w:rPr>
      </w:pPr>
      <w:r w:rsidRPr="0050243A">
        <w:rPr>
          <w:b/>
          <w:bCs/>
          <w:color w:val="000000" w:themeColor="text1"/>
          <w:sz w:val="20"/>
          <w:szCs w:val="20"/>
        </w:rPr>
        <w:t>Data Availability</w:t>
      </w:r>
    </w:p>
    <w:p w14:paraId="417A0D3F" w14:textId="77777777" w:rsidR="000B7304" w:rsidRPr="0050243A" w:rsidRDefault="000B7304" w:rsidP="008546EF">
      <w:pPr>
        <w:ind w:right="78"/>
        <w:jc w:val="both"/>
        <w:rPr>
          <w:b/>
          <w:bCs/>
          <w:color w:val="000000" w:themeColor="text1"/>
          <w:sz w:val="20"/>
          <w:szCs w:val="20"/>
        </w:rPr>
      </w:pPr>
    </w:p>
    <w:p w14:paraId="329B0469" w14:textId="77777777" w:rsidR="00191ABF" w:rsidRDefault="00191ABF" w:rsidP="000B7304">
      <w:pPr>
        <w:spacing w:line="324" w:lineRule="auto"/>
        <w:ind w:right="79"/>
        <w:jc w:val="both"/>
        <w:rPr>
          <w:sz w:val="20"/>
          <w:szCs w:val="20"/>
        </w:rPr>
      </w:pPr>
      <w:r w:rsidRPr="0050243A">
        <w:rPr>
          <w:sz w:val="20"/>
          <w:szCs w:val="20"/>
        </w:rPr>
        <w:t>This study relies on secondary data sourced from the World Bank's World Development Indicators, available at https://data.worldbank.org/country/BD.</w:t>
      </w:r>
    </w:p>
    <w:p w14:paraId="7B1D6C0C" w14:textId="77777777" w:rsidR="000B7304" w:rsidRPr="0050243A" w:rsidRDefault="000B7304" w:rsidP="008546EF">
      <w:pPr>
        <w:ind w:right="78"/>
        <w:jc w:val="both"/>
        <w:rPr>
          <w:sz w:val="20"/>
          <w:szCs w:val="20"/>
        </w:rPr>
      </w:pPr>
    </w:p>
    <w:p w14:paraId="0004FD8D" w14:textId="77777777" w:rsidR="00191ABF" w:rsidRDefault="00191ABF" w:rsidP="008546EF">
      <w:pPr>
        <w:ind w:right="78"/>
        <w:jc w:val="both"/>
        <w:rPr>
          <w:b/>
          <w:bCs/>
          <w:sz w:val="20"/>
          <w:szCs w:val="20"/>
        </w:rPr>
      </w:pPr>
      <w:r w:rsidRPr="0050243A">
        <w:rPr>
          <w:b/>
          <w:bCs/>
          <w:sz w:val="20"/>
          <w:szCs w:val="20"/>
        </w:rPr>
        <w:t>Funding</w:t>
      </w:r>
    </w:p>
    <w:p w14:paraId="7C23E79D" w14:textId="77777777" w:rsidR="000B7304" w:rsidRPr="0050243A" w:rsidRDefault="000B7304" w:rsidP="008546EF">
      <w:pPr>
        <w:ind w:right="78"/>
        <w:jc w:val="both"/>
        <w:rPr>
          <w:b/>
          <w:bCs/>
          <w:sz w:val="20"/>
          <w:szCs w:val="20"/>
        </w:rPr>
      </w:pPr>
    </w:p>
    <w:p w14:paraId="5A7FAFAF" w14:textId="77777777" w:rsidR="00191ABF" w:rsidRDefault="00191ABF" w:rsidP="000B7304">
      <w:pPr>
        <w:spacing w:line="324" w:lineRule="auto"/>
        <w:ind w:right="79"/>
        <w:jc w:val="both"/>
        <w:rPr>
          <w:sz w:val="20"/>
          <w:szCs w:val="20"/>
        </w:rPr>
      </w:pPr>
      <w:r w:rsidRPr="0050243A">
        <w:rPr>
          <w:sz w:val="20"/>
          <w:szCs w:val="20"/>
        </w:rPr>
        <w:t>The authors confirm that this research received no specific funding from any public, commercial, or non-profit agency.</w:t>
      </w:r>
    </w:p>
    <w:p w14:paraId="3828A86D" w14:textId="77777777" w:rsidR="000B7304" w:rsidRPr="0050243A" w:rsidRDefault="000B7304" w:rsidP="008546EF">
      <w:pPr>
        <w:ind w:right="78"/>
        <w:jc w:val="both"/>
        <w:rPr>
          <w:sz w:val="20"/>
          <w:szCs w:val="20"/>
        </w:rPr>
      </w:pPr>
    </w:p>
    <w:p w14:paraId="6F83C5E2" w14:textId="77777777" w:rsidR="00191ABF" w:rsidRDefault="00191ABF" w:rsidP="008546EF">
      <w:pPr>
        <w:ind w:right="78"/>
        <w:jc w:val="both"/>
        <w:rPr>
          <w:b/>
          <w:bCs/>
          <w:sz w:val="20"/>
          <w:szCs w:val="20"/>
        </w:rPr>
      </w:pPr>
      <w:r w:rsidRPr="0050243A">
        <w:rPr>
          <w:b/>
          <w:bCs/>
          <w:sz w:val="20"/>
          <w:szCs w:val="20"/>
        </w:rPr>
        <w:t>Conflict of Interest</w:t>
      </w:r>
    </w:p>
    <w:p w14:paraId="3B07D37E" w14:textId="77777777" w:rsidR="000B7304" w:rsidRPr="0050243A" w:rsidRDefault="000B7304" w:rsidP="008546EF">
      <w:pPr>
        <w:ind w:right="78"/>
        <w:jc w:val="both"/>
        <w:rPr>
          <w:b/>
          <w:bCs/>
          <w:sz w:val="20"/>
          <w:szCs w:val="20"/>
        </w:rPr>
      </w:pPr>
    </w:p>
    <w:p w14:paraId="2D4B59BA" w14:textId="77777777" w:rsidR="00191ABF" w:rsidRDefault="00191ABF" w:rsidP="008546EF">
      <w:pPr>
        <w:ind w:right="78"/>
        <w:jc w:val="both"/>
        <w:rPr>
          <w:sz w:val="20"/>
          <w:szCs w:val="20"/>
        </w:rPr>
      </w:pPr>
      <w:r w:rsidRPr="0050243A">
        <w:rPr>
          <w:sz w:val="20"/>
          <w:szCs w:val="20"/>
        </w:rPr>
        <w:t>The authors declare no conflicts of interest.</w:t>
      </w:r>
    </w:p>
    <w:p w14:paraId="3872D18B" w14:textId="77777777" w:rsidR="000B7304" w:rsidRPr="0050243A" w:rsidRDefault="000B7304" w:rsidP="008546EF">
      <w:pPr>
        <w:ind w:right="78"/>
        <w:jc w:val="both"/>
        <w:rPr>
          <w:sz w:val="20"/>
          <w:szCs w:val="20"/>
        </w:rPr>
      </w:pPr>
    </w:p>
    <w:p w14:paraId="3EBDFA54" w14:textId="77777777" w:rsidR="00191ABF" w:rsidRDefault="00191ABF" w:rsidP="008546EF">
      <w:pPr>
        <w:ind w:right="78"/>
        <w:jc w:val="both"/>
        <w:rPr>
          <w:b/>
          <w:bCs/>
          <w:kern w:val="2"/>
          <w:sz w:val="20"/>
          <w:szCs w:val="20"/>
          <w:lang w:val="en-GB"/>
        </w:rPr>
      </w:pPr>
      <w:r w:rsidRPr="00191ABF">
        <w:rPr>
          <w:b/>
          <w:bCs/>
          <w:kern w:val="2"/>
          <w:sz w:val="20"/>
          <w:szCs w:val="20"/>
          <w:lang w:val="en-GB"/>
        </w:rPr>
        <w:t>Authors Contributions</w:t>
      </w:r>
    </w:p>
    <w:p w14:paraId="7BBCA27D" w14:textId="77777777" w:rsidR="000B7304" w:rsidRPr="0050243A" w:rsidRDefault="000B7304" w:rsidP="008546EF">
      <w:pPr>
        <w:ind w:right="78"/>
        <w:jc w:val="both"/>
        <w:rPr>
          <w:sz w:val="20"/>
          <w:szCs w:val="20"/>
        </w:rPr>
      </w:pPr>
    </w:p>
    <w:p w14:paraId="1939467A" w14:textId="77777777" w:rsidR="00191ABF" w:rsidRDefault="00191ABF" w:rsidP="008546EF">
      <w:pPr>
        <w:ind w:right="78"/>
        <w:jc w:val="both"/>
        <w:rPr>
          <w:kern w:val="2"/>
          <w:sz w:val="20"/>
          <w:szCs w:val="20"/>
          <w:lang w:val="en-GB"/>
        </w:rPr>
      </w:pPr>
      <w:r w:rsidRPr="00191ABF">
        <w:rPr>
          <w:kern w:val="2"/>
          <w:sz w:val="20"/>
          <w:szCs w:val="20"/>
          <w:lang w:val="en-GB"/>
        </w:rPr>
        <w:t xml:space="preserve">Conceptualization: MSAS, RA; Data Curation:  RA; Methodology:  RA, TS; Analysis: </w:t>
      </w:r>
    </w:p>
    <w:p w14:paraId="60C6D9D7" w14:textId="77777777" w:rsidR="000B7304" w:rsidRPr="00191ABF" w:rsidRDefault="000B7304" w:rsidP="008546EF">
      <w:pPr>
        <w:ind w:right="78"/>
        <w:jc w:val="both"/>
        <w:rPr>
          <w:kern w:val="2"/>
          <w:sz w:val="20"/>
          <w:szCs w:val="20"/>
          <w:lang w:val="en-GB"/>
        </w:rPr>
      </w:pPr>
    </w:p>
    <w:p w14:paraId="5EB04976" w14:textId="77777777" w:rsidR="000B7304" w:rsidRDefault="00191ABF" w:rsidP="000B7304">
      <w:pPr>
        <w:spacing w:line="324" w:lineRule="auto"/>
        <w:ind w:right="79"/>
        <w:jc w:val="both"/>
        <w:rPr>
          <w:kern w:val="2"/>
          <w:sz w:val="20"/>
          <w:szCs w:val="20"/>
          <w:lang w:val="en-GB"/>
        </w:rPr>
      </w:pPr>
      <w:r w:rsidRPr="00191ABF">
        <w:rPr>
          <w:kern w:val="2"/>
          <w:sz w:val="20"/>
          <w:szCs w:val="20"/>
          <w:lang w:val="en-GB"/>
        </w:rPr>
        <w:t>RA, TS; Data Curation: TS, RA;</w:t>
      </w:r>
      <w:r w:rsidRPr="0050243A">
        <w:rPr>
          <w:b/>
          <w:bCs/>
          <w:color w:val="000000"/>
          <w:sz w:val="20"/>
          <w:szCs w:val="20"/>
          <w:lang w:val="en-GB"/>
        </w:rPr>
        <w:t xml:space="preserve"> </w:t>
      </w:r>
      <w:r w:rsidRPr="0050243A">
        <w:rPr>
          <w:color w:val="000000"/>
          <w:sz w:val="20"/>
          <w:szCs w:val="20"/>
        </w:rPr>
        <w:t>Supervision:</w:t>
      </w:r>
      <w:r w:rsidRPr="0050243A">
        <w:rPr>
          <w:b/>
          <w:bCs/>
          <w:color w:val="000000"/>
          <w:sz w:val="20"/>
          <w:szCs w:val="20"/>
        </w:rPr>
        <w:t xml:space="preserve"> </w:t>
      </w:r>
      <w:r w:rsidRPr="0050243A">
        <w:rPr>
          <w:color w:val="000000"/>
          <w:sz w:val="20"/>
          <w:szCs w:val="20"/>
        </w:rPr>
        <w:t>MSAS;</w:t>
      </w:r>
      <w:r w:rsidRPr="00191ABF">
        <w:rPr>
          <w:kern w:val="2"/>
          <w:sz w:val="20"/>
          <w:szCs w:val="20"/>
          <w:lang w:val="en-GB"/>
        </w:rPr>
        <w:t xml:space="preserve"> Writing—Original Draft Preparation: </w:t>
      </w:r>
    </w:p>
    <w:p w14:paraId="74671748" w14:textId="77777777" w:rsidR="000B7304" w:rsidRDefault="000B7304" w:rsidP="000B7304">
      <w:pPr>
        <w:spacing w:line="324" w:lineRule="auto"/>
        <w:ind w:right="79"/>
        <w:jc w:val="both"/>
        <w:rPr>
          <w:kern w:val="2"/>
          <w:sz w:val="20"/>
          <w:szCs w:val="20"/>
          <w:lang w:val="en-GB"/>
        </w:rPr>
      </w:pPr>
    </w:p>
    <w:p w14:paraId="4551879E" w14:textId="2BFF18CC" w:rsidR="00191ABF" w:rsidRPr="00191ABF" w:rsidRDefault="00191ABF" w:rsidP="000B7304">
      <w:pPr>
        <w:spacing w:line="324" w:lineRule="auto"/>
        <w:ind w:right="79"/>
        <w:jc w:val="both"/>
        <w:rPr>
          <w:kern w:val="2"/>
          <w:sz w:val="20"/>
          <w:szCs w:val="20"/>
          <w:lang w:val="en-GB"/>
        </w:rPr>
      </w:pPr>
      <w:r w:rsidRPr="00191ABF">
        <w:rPr>
          <w:kern w:val="2"/>
          <w:sz w:val="20"/>
          <w:szCs w:val="20"/>
          <w:lang w:val="en-GB"/>
        </w:rPr>
        <w:t>RA, TS; Writing—Intellectual Content, Review &amp; Editing: MSAS, RA. All authors reviewed and approved the final version of the manuscript.</w:t>
      </w:r>
    </w:p>
    <w:p w14:paraId="63CC954F" w14:textId="77777777" w:rsidR="00191ABF" w:rsidRPr="0050243A" w:rsidRDefault="00191ABF" w:rsidP="008546EF">
      <w:pPr>
        <w:tabs>
          <w:tab w:val="left" w:pos="2554"/>
        </w:tabs>
        <w:ind w:right="78"/>
        <w:jc w:val="both"/>
        <w:rPr>
          <w:color w:val="000000" w:themeColor="text1"/>
          <w:sz w:val="20"/>
          <w:szCs w:val="20"/>
        </w:rPr>
      </w:pPr>
    </w:p>
    <w:p w14:paraId="3A88DA88" w14:textId="77777777" w:rsidR="00191ABF" w:rsidRPr="0050243A" w:rsidRDefault="00191ABF" w:rsidP="008546EF">
      <w:pPr>
        <w:tabs>
          <w:tab w:val="left" w:pos="2554"/>
        </w:tabs>
        <w:ind w:right="78"/>
        <w:jc w:val="both"/>
        <w:rPr>
          <w:color w:val="000000" w:themeColor="text1"/>
          <w:sz w:val="20"/>
          <w:szCs w:val="20"/>
        </w:rPr>
      </w:pPr>
    </w:p>
    <w:p w14:paraId="2F345D49" w14:textId="77777777" w:rsidR="00191ABF" w:rsidRDefault="00191ABF" w:rsidP="008546EF">
      <w:pPr>
        <w:tabs>
          <w:tab w:val="left" w:pos="2554"/>
        </w:tabs>
        <w:ind w:right="78"/>
        <w:jc w:val="both"/>
        <w:rPr>
          <w:b/>
          <w:bCs/>
          <w:color w:val="000000" w:themeColor="text1"/>
          <w:sz w:val="20"/>
          <w:szCs w:val="20"/>
        </w:rPr>
      </w:pPr>
      <w:r w:rsidRPr="0050243A">
        <w:rPr>
          <w:b/>
          <w:bCs/>
          <w:color w:val="000000" w:themeColor="text1"/>
          <w:sz w:val="20"/>
          <w:szCs w:val="20"/>
        </w:rPr>
        <w:t>References</w:t>
      </w:r>
    </w:p>
    <w:p w14:paraId="59362D61" w14:textId="77777777" w:rsidR="000B7304" w:rsidRDefault="000B7304" w:rsidP="008546EF">
      <w:pPr>
        <w:tabs>
          <w:tab w:val="left" w:pos="2554"/>
        </w:tabs>
        <w:ind w:right="78"/>
        <w:jc w:val="both"/>
        <w:rPr>
          <w:b/>
          <w:bCs/>
          <w:color w:val="000000" w:themeColor="text1"/>
          <w:sz w:val="20"/>
          <w:szCs w:val="20"/>
        </w:rPr>
      </w:pPr>
    </w:p>
    <w:p w14:paraId="699BCCCA" w14:textId="3BA5E892"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Adams, R. H., &amp; </w:t>
      </w:r>
      <w:proofErr w:type="spellStart"/>
      <w:r w:rsidRPr="0050243A">
        <w:rPr>
          <w:color w:val="000000"/>
          <w:sz w:val="20"/>
          <w:szCs w:val="20"/>
        </w:rPr>
        <w:t>Cuecuecha</w:t>
      </w:r>
      <w:proofErr w:type="spellEnd"/>
      <w:r w:rsidRPr="0050243A">
        <w:rPr>
          <w:color w:val="000000"/>
          <w:sz w:val="20"/>
          <w:szCs w:val="20"/>
        </w:rPr>
        <w:t xml:space="preserve">, A. (2013). The Impact of Remittances on Investment and Poverty in Ghana. </w:t>
      </w:r>
      <w:r w:rsidRPr="0050243A">
        <w:rPr>
          <w:i/>
          <w:iCs/>
          <w:color w:val="000000"/>
          <w:sz w:val="20"/>
          <w:szCs w:val="20"/>
        </w:rPr>
        <w:t>World Development</w:t>
      </w:r>
      <w:r w:rsidRPr="0050243A">
        <w:rPr>
          <w:color w:val="000000"/>
          <w:sz w:val="20"/>
          <w:szCs w:val="20"/>
        </w:rPr>
        <w:t xml:space="preserve">, </w:t>
      </w:r>
      <w:r w:rsidRPr="0050243A">
        <w:rPr>
          <w:i/>
          <w:iCs/>
          <w:color w:val="000000"/>
          <w:sz w:val="20"/>
          <w:szCs w:val="20"/>
        </w:rPr>
        <w:t>50</w:t>
      </w:r>
      <w:r w:rsidRPr="0050243A">
        <w:rPr>
          <w:color w:val="000000"/>
          <w:sz w:val="20"/>
          <w:szCs w:val="20"/>
        </w:rPr>
        <w:t>, 24–40. https://doi.org/10.1016/j.worlddev.</w:t>
      </w:r>
      <w:r>
        <w:rPr>
          <w:color w:val="000000"/>
          <w:sz w:val="20"/>
          <w:szCs w:val="20"/>
        </w:rPr>
        <w:t xml:space="preserve"> </w:t>
      </w:r>
      <w:r w:rsidRPr="0050243A">
        <w:rPr>
          <w:color w:val="000000"/>
          <w:sz w:val="20"/>
          <w:szCs w:val="20"/>
        </w:rPr>
        <w:t>2013.04.009</w:t>
      </w:r>
    </w:p>
    <w:p w14:paraId="190C56A6"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Al Mosharrafa, R., Sahabuddin, M., &amp; Saha, N. (2024). Migrant workforces, foreign remittance, and economic growth Nexus in an emerging country. </w:t>
      </w:r>
      <w:r w:rsidRPr="0050243A">
        <w:rPr>
          <w:i/>
          <w:iCs/>
          <w:color w:val="000000"/>
          <w:sz w:val="20"/>
          <w:szCs w:val="20"/>
        </w:rPr>
        <w:t>Journal of International Migration and Integration</w:t>
      </w:r>
      <w:r w:rsidRPr="0050243A">
        <w:rPr>
          <w:color w:val="000000"/>
          <w:sz w:val="20"/>
          <w:szCs w:val="20"/>
        </w:rPr>
        <w:t xml:space="preserve">, </w:t>
      </w:r>
      <w:r w:rsidRPr="0050243A">
        <w:rPr>
          <w:i/>
          <w:iCs/>
          <w:color w:val="000000"/>
          <w:sz w:val="20"/>
          <w:szCs w:val="20"/>
        </w:rPr>
        <w:t>25</w:t>
      </w:r>
      <w:r w:rsidRPr="0050243A">
        <w:rPr>
          <w:color w:val="000000"/>
          <w:sz w:val="20"/>
          <w:szCs w:val="20"/>
        </w:rPr>
        <w:t>(4), 2321–2337.</w:t>
      </w:r>
    </w:p>
    <w:p w14:paraId="0964DC0D"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Alamoudi, A. (2024). Do governance indicators have a role in remittances-growth nexus in Egypt? </w:t>
      </w:r>
      <w:r w:rsidRPr="0050243A">
        <w:rPr>
          <w:i/>
          <w:iCs/>
          <w:color w:val="000000"/>
          <w:sz w:val="20"/>
          <w:szCs w:val="20"/>
        </w:rPr>
        <w:t>Economic Journal of Emerging Markets</w:t>
      </w:r>
      <w:r w:rsidRPr="0050243A">
        <w:rPr>
          <w:color w:val="000000"/>
          <w:sz w:val="20"/>
          <w:szCs w:val="20"/>
        </w:rPr>
        <w:t>, 164–177. https://doi.org/10.20885/ejem.vol16.iss2.art6</w:t>
      </w:r>
    </w:p>
    <w:p w14:paraId="7D5A859B" w14:textId="77777777" w:rsidR="000B7304" w:rsidRPr="0050243A" w:rsidRDefault="000B7304" w:rsidP="000B7304">
      <w:pPr>
        <w:spacing w:line="324" w:lineRule="auto"/>
        <w:ind w:left="567" w:right="79" w:hanging="567"/>
        <w:jc w:val="both"/>
        <w:rPr>
          <w:color w:val="000000"/>
          <w:sz w:val="20"/>
          <w:szCs w:val="20"/>
        </w:rPr>
      </w:pPr>
      <w:proofErr w:type="spellStart"/>
      <w:r w:rsidRPr="0050243A">
        <w:rPr>
          <w:color w:val="000000"/>
          <w:sz w:val="20"/>
          <w:szCs w:val="20"/>
        </w:rPr>
        <w:t>Amuedo</w:t>
      </w:r>
      <w:proofErr w:type="spellEnd"/>
      <w:r w:rsidRPr="0050243A">
        <w:rPr>
          <w:color w:val="000000"/>
          <w:sz w:val="20"/>
          <w:szCs w:val="20"/>
        </w:rPr>
        <w:t xml:space="preserve">-Dorantes, C., &amp; Pozo, S. (2011). New evidence on the role of remittances on healthcare expenditures by Mexican households. </w:t>
      </w:r>
      <w:r w:rsidRPr="0050243A">
        <w:rPr>
          <w:i/>
          <w:iCs/>
          <w:color w:val="000000"/>
          <w:sz w:val="20"/>
          <w:szCs w:val="20"/>
        </w:rPr>
        <w:t>Review of Economics of the Household</w:t>
      </w:r>
      <w:r w:rsidRPr="0050243A">
        <w:rPr>
          <w:color w:val="000000"/>
          <w:sz w:val="20"/>
          <w:szCs w:val="20"/>
        </w:rPr>
        <w:t xml:space="preserve">, </w:t>
      </w:r>
      <w:r w:rsidRPr="0050243A">
        <w:rPr>
          <w:i/>
          <w:iCs/>
          <w:color w:val="000000"/>
          <w:sz w:val="20"/>
          <w:szCs w:val="20"/>
        </w:rPr>
        <w:t>9</w:t>
      </w:r>
      <w:r w:rsidRPr="0050243A">
        <w:rPr>
          <w:color w:val="000000"/>
          <w:sz w:val="20"/>
          <w:szCs w:val="20"/>
        </w:rPr>
        <w:t>(1), 69–98. https://doi.org/10.1007/s11150-009-9080-7</w:t>
      </w:r>
    </w:p>
    <w:p w14:paraId="14C495EE"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lastRenderedPageBreak/>
        <w:t xml:space="preserve">Balke, N. S. (2000). Credit and Economic Activity: Credit Regimes and Nonlinear Propagation of Shocks. </w:t>
      </w:r>
      <w:r w:rsidRPr="0050243A">
        <w:rPr>
          <w:i/>
          <w:iCs/>
          <w:color w:val="000000"/>
          <w:sz w:val="20"/>
          <w:szCs w:val="20"/>
        </w:rPr>
        <w:t>Review of Economics and Statistics</w:t>
      </w:r>
      <w:r w:rsidRPr="0050243A">
        <w:rPr>
          <w:color w:val="000000"/>
          <w:sz w:val="20"/>
          <w:szCs w:val="20"/>
        </w:rPr>
        <w:t xml:space="preserve">, </w:t>
      </w:r>
      <w:r w:rsidRPr="0050243A">
        <w:rPr>
          <w:i/>
          <w:iCs/>
          <w:color w:val="000000"/>
          <w:sz w:val="20"/>
          <w:szCs w:val="20"/>
        </w:rPr>
        <w:t>82</w:t>
      </w:r>
      <w:r w:rsidRPr="0050243A">
        <w:rPr>
          <w:color w:val="000000"/>
          <w:sz w:val="20"/>
          <w:szCs w:val="20"/>
        </w:rPr>
        <w:t>(2), 344–349. https://doi.org/10.1162/rest.2000.82.2.344</w:t>
      </w:r>
    </w:p>
    <w:p w14:paraId="54B8806F"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Bank, W. (2021). </w:t>
      </w:r>
      <w:r w:rsidRPr="0050243A">
        <w:rPr>
          <w:i/>
          <w:iCs/>
          <w:color w:val="000000"/>
          <w:sz w:val="20"/>
          <w:szCs w:val="20"/>
        </w:rPr>
        <w:t>Remittances to Bangladesh</w:t>
      </w:r>
      <w:r w:rsidRPr="0050243A">
        <w:rPr>
          <w:color w:val="000000"/>
          <w:sz w:val="20"/>
          <w:szCs w:val="20"/>
        </w:rPr>
        <w:t>. 11–14.</w:t>
      </w:r>
    </w:p>
    <w:p w14:paraId="45240C46"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Barai, M. K. (2012). Development Dynamics of Remittances in Bangladesh. </w:t>
      </w:r>
      <w:r w:rsidRPr="0050243A">
        <w:rPr>
          <w:i/>
          <w:iCs/>
          <w:color w:val="000000"/>
          <w:sz w:val="20"/>
          <w:szCs w:val="20"/>
        </w:rPr>
        <w:t>Sage Open</w:t>
      </w:r>
      <w:r w:rsidRPr="0050243A">
        <w:rPr>
          <w:color w:val="000000"/>
          <w:sz w:val="20"/>
          <w:szCs w:val="20"/>
        </w:rPr>
        <w:t xml:space="preserve">, </w:t>
      </w:r>
      <w:r w:rsidRPr="0050243A">
        <w:rPr>
          <w:i/>
          <w:iCs/>
          <w:color w:val="000000"/>
          <w:sz w:val="20"/>
          <w:szCs w:val="20"/>
        </w:rPr>
        <w:t>2</w:t>
      </w:r>
      <w:r w:rsidRPr="0050243A">
        <w:rPr>
          <w:color w:val="000000"/>
          <w:sz w:val="20"/>
          <w:szCs w:val="20"/>
        </w:rPr>
        <w:t>(1). https://doi.org/10.1177/2158244012439073</w:t>
      </w:r>
    </w:p>
    <w:p w14:paraId="12F7AD21"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Barajas, A., Chami, R., &amp; Seyed Reza, Y. (2016). The finance and growth nexus re-examined: Do all countries benefit equally? </w:t>
      </w:r>
      <w:r w:rsidRPr="0050243A">
        <w:rPr>
          <w:i/>
          <w:iCs/>
          <w:color w:val="000000"/>
          <w:sz w:val="20"/>
          <w:szCs w:val="20"/>
        </w:rPr>
        <w:t>Journal of Banking and Financial Economics</w:t>
      </w:r>
      <w:r w:rsidRPr="0050243A">
        <w:rPr>
          <w:color w:val="000000"/>
          <w:sz w:val="20"/>
          <w:szCs w:val="20"/>
        </w:rPr>
        <w:t>, (1 (5), 5–38.</w:t>
      </w:r>
    </w:p>
    <w:p w14:paraId="42B97A58"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Basu, S., &amp; Roy, A. (2024). Effect of Foreign Remittance on Household Healthcare Status in South-central Region of Bangladesh. </w:t>
      </w:r>
      <w:proofErr w:type="spellStart"/>
      <w:r w:rsidRPr="0050243A">
        <w:rPr>
          <w:i/>
          <w:iCs/>
          <w:color w:val="000000"/>
          <w:sz w:val="20"/>
          <w:szCs w:val="20"/>
        </w:rPr>
        <w:t>Barishal</w:t>
      </w:r>
      <w:proofErr w:type="spellEnd"/>
      <w:r w:rsidRPr="0050243A">
        <w:rPr>
          <w:i/>
          <w:iCs/>
          <w:color w:val="000000"/>
          <w:sz w:val="20"/>
          <w:szCs w:val="20"/>
        </w:rPr>
        <w:t xml:space="preserve"> University Journal of Social Sciences</w:t>
      </w:r>
      <w:r w:rsidRPr="0050243A">
        <w:rPr>
          <w:color w:val="000000"/>
          <w:sz w:val="20"/>
          <w:szCs w:val="20"/>
        </w:rPr>
        <w:t xml:space="preserve">, </w:t>
      </w:r>
      <w:r w:rsidRPr="0050243A">
        <w:rPr>
          <w:i/>
          <w:iCs/>
          <w:color w:val="000000"/>
          <w:sz w:val="20"/>
          <w:szCs w:val="20"/>
        </w:rPr>
        <w:t>1719</w:t>
      </w:r>
      <w:r w:rsidRPr="0050243A">
        <w:rPr>
          <w:color w:val="000000"/>
          <w:sz w:val="20"/>
          <w:szCs w:val="20"/>
        </w:rPr>
        <w:t>(398694), 155.</w:t>
      </w:r>
    </w:p>
    <w:p w14:paraId="60975403"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Blake, N. S., &amp; Fomby, T. B. (1997). Threshold Cointegration. </w:t>
      </w:r>
      <w:r w:rsidRPr="0050243A">
        <w:rPr>
          <w:i/>
          <w:iCs/>
          <w:color w:val="000000"/>
          <w:sz w:val="20"/>
          <w:szCs w:val="20"/>
        </w:rPr>
        <w:t>International Economic Review</w:t>
      </w:r>
      <w:r w:rsidRPr="0050243A">
        <w:rPr>
          <w:color w:val="000000"/>
          <w:sz w:val="20"/>
          <w:szCs w:val="20"/>
        </w:rPr>
        <w:t xml:space="preserve">, </w:t>
      </w:r>
      <w:r w:rsidRPr="0050243A">
        <w:rPr>
          <w:i/>
          <w:iCs/>
          <w:color w:val="000000"/>
          <w:sz w:val="20"/>
          <w:szCs w:val="20"/>
        </w:rPr>
        <w:t>38</w:t>
      </w:r>
      <w:r w:rsidRPr="0050243A">
        <w:rPr>
          <w:color w:val="000000"/>
          <w:sz w:val="20"/>
          <w:szCs w:val="20"/>
        </w:rPr>
        <w:t>(3), 627. https://doi.org/10.2307/2527284</w:t>
      </w:r>
    </w:p>
    <w:p w14:paraId="287EF353"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Carling, J. (2008). The determinants of migrant remittances. </w:t>
      </w:r>
      <w:r w:rsidRPr="0050243A">
        <w:rPr>
          <w:i/>
          <w:iCs/>
          <w:color w:val="000000"/>
          <w:sz w:val="20"/>
          <w:szCs w:val="20"/>
        </w:rPr>
        <w:t>Oxford Review of Economic Policy</w:t>
      </w:r>
      <w:r w:rsidRPr="0050243A">
        <w:rPr>
          <w:color w:val="000000"/>
          <w:sz w:val="20"/>
          <w:szCs w:val="20"/>
        </w:rPr>
        <w:t xml:space="preserve">, </w:t>
      </w:r>
      <w:r w:rsidRPr="0050243A">
        <w:rPr>
          <w:i/>
          <w:iCs/>
          <w:color w:val="000000"/>
          <w:sz w:val="20"/>
          <w:szCs w:val="20"/>
        </w:rPr>
        <w:t>24</w:t>
      </w:r>
      <w:r w:rsidRPr="0050243A">
        <w:rPr>
          <w:color w:val="000000"/>
          <w:sz w:val="20"/>
          <w:szCs w:val="20"/>
        </w:rPr>
        <w:t>(3), 581–598. https://doi.org/10.1093/oxrep/grn022</w:t>
      </w:r>
    </w:p>
    <w:p w14:paraId="294970C6"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Chami, R., Fullenkamp, C., &amp; </w:t>
      </w:r>
      <w:proofErr w:type="spellStart"/>
      <w:r w:rsidRPr="0050243A">
        <w:rPr>
          <w:color w:val="000000"/>
          <w:sz w:val="20"/>
          <w:szCs w:val="20"/>
        </w:rPr>
        <w:t>Jahjah</w:t>
      </w:r>
      <w:proofErr w:type="spellEnd"/>
      <w:r w:rsidRPr="0050243A">
        <w:rPr>
          <w:color w:val="000000"/>
          <w:sz w:val="20"/>
          <w:szCs w:val="20"/>
        </w:rPr>
        <w:t xml:space="preserve">, S. (2005). Are Immigrant Remittance Flows a Source of Capital for Development? </w:t>
      </w:r>
      <w:r w:rsidRPr="0050243A">
        <w:rPr>
          <w:i/>
          <w:iCs/>
          <w:color w:val="000000"/>
          <w:sz w:val="20"/>
          <w:szCs w:val="20"/>
        </w:rPr>
        <w:t>IMF Staff Papers</w:t>
      </w:r>
      <w:r w:rsidRPr="0050243A">
        <w:rPr>
          <w:color w:val="000000"/>
          <w:sz w:val="20"/>
          <w:szCs w:val="20"/>
        </w:rPr>
        <w:t xml:space="preserve">, </w:t>
      </w:r>
      <w:r w:rsidRPr="0050243A">
        <w:rPr>
          <w:i/>
          <w:iCs/>
          <w:color w:val="000000"/>
          <w:sz w:val="20"/>
          <w:szCs w:val="20"/>
        </w:rPr>
        <w:t>52</w:t>
      </w:r>
      <w:r w:rsidRPr="0050243A">
        <w:rPr>
          <w:color w:val="000000"/>
          <w:sz w:val="20"/>
          <w:szCs w:val="20"/>
        </w:rPr>
        <w:t>(1), 55–81. https://doi.org/10.2307/30035948</w:t>
      </w:r>
    </w:p>
    <w:p w14:paraId="0178298F"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Chami, R., </w:t>
      </w:r>
      <w:proofErr w:type="spellStart"/>
      <w:r w:rsidRPr="0050243A">
        <w:rPr>
          <w:color w:val="000000"/>
          <w:sz w:val="20"/>
          <w:szCs w:val="20"/>
        </w:rPr>
        <w:t>Hakura</w:t>
      </w:r>
      <w:proofErr w:type="spellEnd"/>
      <w:r w:rsidRPr="0050243A">
        <w:rPr>
          <w:color w:val="000000"/>
          <w:sz w:val="20"/>
          <w:szCs w:val="20"/>
        </w:rPr>
        <w:t xml:space="preserve">, D., &amp; Montiel, P. J. (2009). </w:t>
      </w:r>
      <w:r w:rsidRPr="0050243A">
        <w:rPr>
          <w:i/>
          <w:iCs/>
          <w:color w:val="000000"/>
          <w:sz w:val="20"/>
          <w:szCs w:val="20"/>
        </w:rPr>
        <w:t>Remittances: an automatic output stabilizer?</w:t>
      </w:r>
    </w:p>
    <w:p w14:paraId="79DF0D51"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COVID-19 Crisis Through a Migration Lens. (2020). </w:t>
      </w:r>
      <w:r w:rsidRPr="0050243A">
        <w:rPr>
          <w:i/>
          <w:iCs/>
          <w:color w:val="000000"/>
          <w:sz w:val="20"/>
          <w:szCs w:val="20"/>
        </w:rPr>
        <w:t>COVID-19 Crisis Through a Migration Lens</w:t>
      </w:r>
      <w:r w:rsidRPr="0050243A">
        <w:rPr>
          <w:color w:val="000000"/>
          <w:sz w:val="20"/>
          <w:szCs w:val="20"/>
        </w:rPr>
        <w:t>, (April). https://doi.org/10.1596/33634</w:t>
      </w:r>
    </w:p>
    <w:p w14:paraId="7D0EC95F"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Dey, S. R., &amp; Basak, B. (2024). The impact of migrant remittances on poverty reduction in Bangladesh. </w:t>
      </w:r>
      <w:r w:rsidRPr="0050243A">
        <w:rPr>
          <w:i/>
          <w:iCs/>
          <w:color w:val="000000"/>
          <w:sz w:val="20"/>
          <w:szCs w:val="20"/>
        </w:rPr>
        <w:t>Poverty &amp; Public Policy</w:t>
      </w:r>
      <w:r w:rsidRPr="0050243A">
        <w:rPr>
          <w:color w:val="000000"/>
          <w:sz w:val="20"/>
          <w:szCs w:val="20"/>
        </w:rPr>
        <w:t xml:space="preserve">, </w:t>
      </w:r>
      <w:r w:rsidRPr="0050243A">
        <w:rPr>
          <w:i/>
          <w:iCs/>
          <w:color w:val="000000"/>
          <w:sz w:val="20"/>
          <w:szCs w:val="20"/>
        </w:rPr>
        <w:t>16</w:t>
      </w:r>
      <w:r w:rsidRPr="0050243A">
        <w:rPr>
          <w:color w:val="000000"/>
          <w:sz w:val="20"/>
          <w:szCs w:val="20"/>
        </w:rPr>
        <w:t>(3), 253–272. https://doi.org/10.1002/pop4.411</w:t>
      </w:r>
    </w:p>
    <w:p w14:paraId="3B502AF0"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Ding, J., </w:t>
      </w:r>
      <w:proofErr w:type="spellStart"/>
      <w:r w:rsidRPr="0050243A">
        <w:rPr>
          <w:color w:val="000000"/>
          <w:sz w:val="20"/>
          <w:szCs w:val="20"/>
        </w:rPr>
        <w:t>Tarokh</w:t>
      </w:r>
      <w:proofErr w:type="spellEnd"/>
      <w:r w:rsidRPr="0050243A">
        <w:rPr>
          <w:color w:val="000000"/>
          <w:sz w:val="20"/>
          <w:szCs w:val="20"/>
        </w:rPr>
        <w:t xml:space="preserve">, V., &amp; Yang, Y. (2018). Model Selection Techniques: An Overview. </w:t>
      </w:r>
      <w:r w:rsidRPr="0050243A">
        <w:rPr>
          <w:i/>
          <w:iCs/>
          <w:color w:val="000000"/>
          <w:sz w:val="20"/>
          <w:szCs w:val="20"/>
        </w:rPr>
        <w:t>IEEE Signal Processing Magazine</w:t>
      </w:r>
      <w:r w:rsidRPr="0050243A">
        <w:rPr>
          <w:color w:val="000000"/>
          <w:sz w:val="20"/>
          <w:szCs w:val="20"/>
        </w:rPr>
        <w:t xml:space="preserve">, </w:t>
      </w:r>
      <w:r w:rsidRPr="0050243A">
        <w:rPr>
          <w:i/>
          <w:iCs/>
          <w:color w:val="000000"/>
          <w:sz w:val="20"/>
          <w:szCs w:val="20"/>
        </w:rPr>
        <w:t>35</w:t>
      </w:r>
      <w:r w:rsidRPr="0050243A">
        <w:rPr>
          <w:color w:val="000000"/>
          <w:sz w:val="20"/>
          <w:szCs w:val="20"/>
        </w:rPr>
        <w:t>(6), 16–34. https://doi.org/10.1109/MSP.2018.2867638</w:t>
      </w:r>
    </w:p>
    <w:p w14:paraId="0D8C028C"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Fullenkamp, C., Cosimano, M. T. F., Gapen, M. T., Chami, M. R., Montiel, M. P., &amp; Barajas, M. A. (2008a). </w:t>
      </w:r>
      <w:r w:rsidRPr="0050243A">
        <w:rPr>
          <w:i/>
          <w:iCs/>
          <w:color w:val="000000"/>
          <w:sz w:val="20"/>
          <w:szCs w:val="20"/>
        </w:rPr>
        <w:t>Macroeconomic consequences of remittances</w:t>
      </w:r>
      <w:r w:rsidRPr="0050243A">
        <w:rPr>
          <w:color w:val="000000"/>
          <w:sz w:val="20"/>
          <w:szCs w:val="20"/>
        </w:rPr>
        <w:t>. International Monetary Fund.</w:t>
      </w:r>
    </w:p>
    <w:p w14:paraId="4F4A61AA"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Fullenkamp, C., Cosimano, M. T. F., Gapen, M. T., Chami, M. R., Montiel, M. P., &amp; Barajas, M. A. (2008b). </w:t>
      </w:r>
      <w:r w:rsidRPr="0050243A">
        <w:rPr>
          <w:i/>
          <w:iCs/>
          <w:color w:val="000000"/>
          <w:sz w:val="20"/>
          <w:szCs w:val="20"/>
        </w:rPr>
        <w:t>Macroeconomic consequences of remittances</w:t>
      </w:r>
      <w:r w:rsidRPr="0050243A">
        <w:rPr>
          <w:color w:val="000000"/>
          <w:sz w:val="20"/>
          <w:szCs w:val="20"/>
        </w:rPr>
        <w:t>. International Monetary Fund.</w:t>
      </w:r>
    </w:p>
    <w:p w14:paraId="7391A86C" w14:textId="77777777" w:rsidR="000B7304" w:rsidRPr="0050243A" w:rsidRDefault="000B7304" w:rsidP="000B7304">
      <w:pPr>
        <w:spacing w:line="324" w:lineRule="auto"/>
        <w:ind w:left="567" w:right="79" w:hanging="567"/>
        <w:jc w:val="both"/>
        <w:rPr>
          <w:color w:val="000000"/>
          <w:sz w:val="20"/>
          <w:szCs w:val="20"/>
        </w:rPr>
      </w:pPr>
      <w:proofErr w:type="spellStart"/>
      <w:r w:rsidRPr="0050243A">
        <w:rPr>
          <w:color w:val="000000"/>
          <w:sz w:val="20"/>
          <w:szCs w:val="20"/>
        </w:rPr>
        <w:t>Grynkiv</w:t>
      </w:r>
      <w:proofErr w:type="spellEnd"/>
      <w:r w:rsidRPr="0050243A">
        <w:rPr>
          <w:color w:val="000000"/>
          <w:sz w:val="20"/>
          <w:szCs w:val="20"/>
        </w:rPr>
        <w:t xml:space="preserve">, G., &amp; Stentoft, L. (2018). Stationary Threshold Vector Autoregressive Models. </w:t>
      </w:r>
      <w:r w:rsidRPr="0050243A">
        <w:rPr>
          <w:i/>
          <w:iCs/>
          <w:color w:val="000000"/>
          <w:sz w:val="20"/>
          <w:szCs w:val="20"/>
        </w:rPr>
        <w:t>Journal of Risk and Financial Management</w:t>
      </w:r>
      <w:r w:rsidRPr="0050243A">
        <w:rPr>
          <w:color w:val="000000"/>
          <w:sz w:val="20"/>
          <w:szCs w:val="20"/>
        </w:rPr>
        <w:t xml:space="preserve">, </w:t>
      </w:r>
      <w:r w:rsidRPr="0050243A">
        <w:rPr>
          <w:i/>
          <w:iCs/>
          <w:color w:val="000000"/>
          <w:sz w:val="20"/>
          <w:szCs w:val="20"/>
        </w:rPr>
        <w:t>11</w:t>
      </w:r>
      <w:r w:rsidRPr="0050243A">
        <w:rPr>
          <w:color w:val="000000"/>
          <w:sz w:val="20"/>
          <w:szCs w:val="20"/>
        </w:rPr>
        <w:t>(3), 45. https://doi.org/10.3390/jrfm11030045</w:t>
      </w:r>
    </w:p>
    <w:p w14:paraId="35F72621"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lastRenderedPageBreak/>
        <w:t xml:space="preserve">Gupta, S., Pattillo, C. A., &amp; Wagh, S. (2009). Effect of Remittances on Poverty and Financial Development in Sub-Saharan Africa. </w:t>
      </w:r>
      <w:r w:rsidRPr="0050243A">
        <w:rPr>
          <w:i/>
          <w:iCs/>
          <w:color w:val="000000"/>
          <w:sz w:val="20"/>
          <w:szCs w:val="20"/>
        </w:rPr>
        <w:t>World Development</w:t>
      </w:r>
      <w:r w:rsidRPr="0050243A">
        <w:rPr>
          <w:color w:val="000000"/>
          <w:sz w:val="20"/>
          <w:szCs w:val="20"/>
        </w:rPr>
        <w:t xml:space="preserve">, </w:t>
      </w:r>
      <w:r w:rsidRPr="0050243A">
        <w:rPr>
          <w:i/>
          <w:iCs/>
          <w:color w:val="000000"/>
          <w:sz w:val="20"/>
          <w:szCs w:val="20"/>
        </w:rPr>
        <w:t>37</w:t>
      </w:r>
      <w:r w:rsidRPr="0050243A">
        <w:rPr>
          <w:color w:val="000000"/>
          <w:sz w:val="20"/>
          <w:szCs w:val="20"/>
        </w:rPr>
        <w:t>(1), 104–115. https://doi.org/10.1016/j.worlddev.2008.05.007</w:t>
      </w:r>
    </w:p>
    <w:p w14:paraId="657E933B"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Hagen-Zanker, J., &amp; Siegel, M. (2007). The Determinants of Remittances: A Review of the Literature. </w:t>
      </w:r>
      <w:r w:rsidRPr="0050243A">
        <w:rPr>
          <w:i/>
          <w:iCs/>
          <w:color w:val="000000"/>
          <w:sz w:val="20"/>
          <w:szCs w:val="20"/>
        </w:rPr>
        <w:t>SSRN Electronic Journal</w:t>
      </w:r>
      <w:r w:rsidRPr="0050243A">
        <w:rPr>
          <w:color w:val="000000"/>
          <w:sz w:val="20"/>
          <w:szCs w:val="20"/>
        </w:rPr>
        <w:t>. https://doi.org/10.2139/ssrn.1095719</w:t>
      </w:r>
    </w:p>
    <w:p w14:paraId="43E33711"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Hansen, B. E. (1999). Threshold effects in non-dynamic panels: Estimation, testing, and inference. </w:t>
      </w:r>
      <w:r w:rsidRPr="0050243A">
        <w:rPr>
          <w:i/>
          <w:iCs/>
          <w:color w:val="000000"/>
          <w:sz w:val="20"/>
          <w:szCs w:val="20"/>
        </w:rPr>
        <w:t>Journal of Econometrics</w:t>
      </w:r>
      <w:r w:rsidRPr="0050243A">
        <w:rPr>
          <w:color w:val="000000"/>
          <w:sz w:val="20"/>
          <w:szCs w:val="20"/>
        </w:rPr>
        <w:t xml:space="preserve">, </w:t>
      </w:r>
      <w:r w:rsidRPr="0050243A">
        <w:rPr>
          <w:i/>
          <w:iCs/>
          <w:color w:val="000000"/>
          <w:sz w:val="20"/>
          <w:szCs w:val="20"/>
        </w:rPr>
        <w:t>93</w:t>
      </w:r>
      <w:r w:rsidRPr="0050243A">
        <w:rPr>
          <w:color w:val="000000"/>
          <w:sz w:val="20"/>
          <w:szCs w:val="20"/>
        </w:rPr>
        <w:t>(2), 345–368. https://doi.org/10.1016/S0304-4076(99)00025-1</w:t>
      </w:r>
    </w:p>
    <w:p w14:paraId="7EC471F2"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Hasan, S. B., Akhter, R., Al Abbasi, A. A., &amp; Saha, S. (2019). Impact of Remittance on Economic Growth in Bangladesh. </w:t>
      </w:r>
      <w:r w:rsidRPr="0050243A">
        <w:rPr>
          <w:i/>
          <w:iCs/>
          <w:color w:val="000000"/>
          <w:sz w:val="20"/>
          <w:szCs w:val="20"/>
        </w:rPr>
        <w:t>American Journal of Trade and Policy</w:t>
      </w:r>
      <w:r w:rsidRPr="0050243A">
        <w:rPr>
          <w:color w:val="000000"/>
          <w:sz w:val="20"/>
          <w:szCs w:val="20"/>
        </w:rPr>
        <w:t xml:space="preserve">, </w:t>
      </w:r>
      <w:r w:rsidRPr="0050243A">
        <w:rPr>
          <w:i/>
          <w:iCs/>
          <w:color w:val="000000"/>
          <w:sz w:val="20"/>
          <w:szCs w:val="20"/>
        </w:rPr>
        <w:t>6</w:t>
      </w:r>
      <w:r w:rsidRPr="0050243A">
        <w:rPr>
          <w:color w:val="000000"/>
          <w:sz w:val="20"/>
          <w:szCs w:val="20"/>
        </w:rPr>
        <w:t>(1), 41–48. https://doi.org/10.18034/ajtp.v6i1.346</w:t>
      </w:r>
    </w:p>
    <w:p w14:paraId="51544AE6"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Iqbal, Z., &amp; Sattar, A. (2010). The contribution of workers’ remittances to economic growth in Pakistan. </w:t>
      </w:r>
      <w:r w:rsidRPr="0050243A">
        <w:rPr>
          <w:i/>
          <w:iCs/>
          <w:color w:val="000000"/>
          <w:sz w:val="20"/>
          <w:szCs w:val="20"/>
        </w:rPr>
        <w:t>Working Papers &amp; Research Reports</w:t>
      </w:r>
      <w:r w:rsidRPr="0050243A">
        <w:rPr>
          <w:color w:val="000000"/>
          <w:sz w:val="20"/>
          <w:szCs w:val="20"/>
        </w:rPr>
        <w:t>, RR-No.</w:t>
      </w:r>
    </w:p>
    <w:p w14:paraId="29CA284E"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Kim, H.-Y. (2018). Statistical notes for clinical researchers: simple linear regression 2 – evaluation of regression line. </w:t>
      </w:r>
      <w:r w:rsidRPr="0050243A">
        <w:rPr>
          <w:i/>
          <w:iCs/>
          <w:color w:val="000000"/>
          <w:sz w:val="20"/>
          <w:szCs w:val="20"/>
        </w:rPr>
        <w:t>Restorative Dentistry &amp; Endodontics</w:t>
      </w:r>
      <w:r w:rsidRPr="0050243A">
        <w:rPr>
          <w:color w:val="000000"/>
          <w:sz w:val="20"/>
          <w:szCs w:val="20"/>
        </w:rPr>
        <w:t xml:space="preserve">, </w:t>
      </w:r>
      <w:r w:rsidRPr="0050243A">
        <w:rPr>
          <w:i/>
          <w:iCs/>
          <w:color w:val="000000"/>
          <w:sz w:val="20"/>
          <w:szCs w:val="20"/>
        </w:rPr>
        <w:t>43</w:t>
      </w:r>
      <w:r w:rsidRPr="0050243A">
        <w:rPr>
          <w:color w:val="000000"/>
          <w:sz w:val="20"/>
          <w:szCs w:val="20"/>
        </w:rPr>
        <w:t>(3). https://doi.org/10.5395/rde.2018.43.e34</w:t>
      </w:r>
    </w:p>
    <w:p w14:paraId="4B790E81"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Kuha, J. (2004). AIC and BIC. </w:t>
      </w:r>
      <w:r w:rsidRPr="0050243A">
        <w:rPr>
          <w:i/>
          <w:iCs/>
          <w:color w:val="000000"/>
          <w:sz w:val="20"/>
          <w:szCs w:val="20"/>
        </w:rPr>
        <w:t>Sociological Methods &amp; Research</w:t>
      </w:r>
      <w:r w:rsidRPr="0050243A">
        <w:rPr>
          <w:color w:val="000000"/>
          <w:sz w:val="20"/>
          <w:szCs w:val="20"/>
        </w:rPr>
        <w:t xml:space="preserve">, </w:t>
      </w:r>
      <w:r w:rsidRPr="0050243A">
        <w:rPr>
          <w:i/>
          <w:iCs/>
          <w:color w:val="000000"/>
          <w:sz w:val="20"/>
          <w:szCs w:val="20"/>
        </w:rPr>
        <w:t>33</w:t>
      </w:r>
      <w:r w:rsidRPr="0050243A">
        <w:rPr>
          <w:color w:val="000000"/>
          <w:sz w:val="20"/>
          <w:szCs w:val="20"/>
        </w:rPr>
        <w:t>(2), 188–229. https://doi.org/10.1177/0049124103262065</w:t>
      </w:r>
    </w:p>
    <w:p w14:paraId="7E2E405A"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Lubik, T. A., &amp; Matthes, C. (2015). Time-varying parameter vector autoregressions: Specification, estimation, and an application. </w:t>
      </w:r>
      <w:r w:rsidRPr="0050243A">
        <w:rPr>
          <w:i/>
          <w:iCs/>
          <w:color w:val="000000"/>
          <w:sz w:val="20"/>
          <w:szCs w:val="20"/>
        </w:rPr>
        <w:t xml:space="preserve">Estimation, and an </w:t>
      </w:r>
      <w:proofErr w:type="gramStart"/>
      <w:r w:rsidRPr="0050243A">
        <w:rPr>
          <w:i/>
          <w:iCs/>
          <w:color w:val="000000"/>
          <w:sz w:val="20"/>
          <w:szCs w:val="20"/>
        </w:rPr>
        <w:t>Application</w:t>
      </w:r>
      <w:proofErr w:type="gramEnd"/>
      <w:r w:rsidRPr="0050243A">
        <w:rPr>
          <w:color w:val="000000"/>
          <w:sz w:val="20"/>
          <w:szCs w:val="20"/>
        </w:rPr>
        <w:t>.</w:t>
      </w:r>
    </w:p>
    <w:p w14:paraId="4F67C690"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Meyer, D., &amp; Shera, A. (2017). The impact of remittances on economic growth: An econometric model. </w:t>
      </w:r>
      <w:proofErr w:type="spellStart"/>
      <w:r w:rsidRPr="0050243A">
        <w:rPr>
          <w:i/>
          <w:iCs/>
          <w:color w:val="000000"/>
          <w:sz w:val="20"/>
          <w:szCs w:val="20"/>
        </w:rPr>
        <w:t>EconomiA</w:t>
      </w:r>
      <w:proofErr w:type="spellEnd"/>
      <w:r w:rsidRPr="0050243A">
        <w:rPr>
          <w:color w:val="000000"/>
          <w:sz w:val="20"/>
          <w:szCs w:val="20"/>
        </w:rPr>
        <w:t xml:space="preserve">, </w:t>
      </w:r>
      <w:r w:rsidRPr="0050243A">
        <w:rPr>
          <w:i/>
          <w:iCs/>
          <w:color w:val="000000"/>
          <w:sz w:val="20"/>
          <w:szCs w:val="20"/>
        </w:rPr>
        <w:t>18</w:t>
      </w:r>
      <w:r w:rsidRPr="0050243A">
        <w:rPr>
          <w:color w:val="000000"/>
          <w:sz w:val="20"/>
          <w:szCs w:val="20"/>
        </w:rPr>
        <w:t>(2), 147–155. https://doi.org/10.1016/j.econ.2016.06.001</w:t>
      </w:r>
    </w:p>
    <w:p w14:paraId="5B39648B"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Rahman, Md. H., &amp; Habib, A. (2021). Impact of Economic and Noneconomic Factors on Inflow of Remittances into Bangladesh. </w:t>
      </w:r>
      <w:r w:rsidRPr="0050243A">
        <w:rPr>
          <w:i/>
          <w:iCs/>
          <w:color w:val="000000"/>
          <w:sz w:val="20"/>
          <w:szCs w:val="20"/>
        </w:rPr>
        <w:t>Finance &amp; Economics Review</w:t>
      </w:r>
      <w:r w:rsidRPr="0050243A">
        <w:rPr>
          <w:color w:val="000000"/>
          <w:sz w:val="20"/>
          <w:szCs w:val="20"/>
        </w:rPr>
        <w:t xml:space="preserve">, </w:t>
      </w:r>
      <w:r w:rsidRPr="0050243A">
        <w:rPr>
          <w:i/>
          <w:iCs/>
          <w:color w:val="000000"/>
          <w:sz w:val="20"/>
          <w:szCs w:val="20"/>
        </w:rPr>
        <w:t>3</w:t>
      </w:r>
      <w:r w:rsidRPr="0050243A">
        <w:rPr>
          <w:color w:val="000000"/>
          <w:sz w:val="20"/>
          <w:szCs w:val="20"/>
        </w:rPr>
        <w:t>(1), 51–62. https://doi.org/10.38157/finance-economics-review.v3i1.289</w:t>
      </w:r>
    </w:p>
    <w:p w14:paraId="43D3075B"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Ratha, D. (2005). Workers’ remittances: an important and stable source of external development finance. </w:t>
      </w:r>
      <w:r w:rsidRPr="0050243A">
        <w:rPr>
          <w:i/>
          <w:iCs/>
          <w:color w:val="000000"/>
          <w:sz w:val="20"/>
          <w:szCs w:val="20"/>
        </w:rPr>
        <w:t>Remittances: Development Impact and Future Prospects</w:t>
      </w:r>
      <w:r w:rsidRPr="0050243A">
        <w:rPr>
          <w:color w:val="000000"/>
          <w:sz w:val="20"/>
          <w:szCs w:val="20"/>
        </w:rPr>
        <w:t xml:space="preserve">, </w:t>
      </w:r>
      <w:r w:rsidRPr="0050243A">
        <w:rPr>
          <w:i/>
          <w:iCs/>
          <w:color w:val="000000"/>
          <w:sz w:val="20"/>
          <w:szCs w:val="20"/>
        </w:rPr>
        <w:t>9</w:t>
      </w:r>
      <w:r w:rsidRPr="0050243A">
        <w:rPr>
          <w:color w:val="000000"/>
          <w:sz w:val="20"/>
          <w:szCs w:val="20"/>
        </w:rPr>
        <w:t>, 19–51.</w:t>
      </w:r>
    </w:p>
    <w:p w14:paraId="11CE0641"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Ratha, D. (2013). The impact of remittances on economic growth and poverty reduction. </w:t>
      </w:r>
      <w:r w:rsidRPr="0050243A">
        <w:rPr>
          <w:i/>
          <w:iCs/>
          <w:color w:val="000000"/>
          <w:sz w:val="20"/>
          <w:szCs w:val="20"/>
        </w:rPr>
        <w:t>Policy Brief</w:t>
      </w:r>
      <w:r w:rsidRPr="0050243A">
        <w:rPr>
          <w:color w:val="000000"/>
          <w:sz w:val="20"/>
          <w:szCs w:val="20"/>
        </w:rPr>
        <w:t xml:space="preserve">, </w:t>
      </w:r>
      <w:r w:rsidRPr="0050243A">
        <w:rPr>
          <w:i/>
          <w:iCs/>
          <w:color w:val="000000"/>
          <w:sz w:val="20"/>
          <w:szCs w:val="20"/>
        </w:rPr>
        <w:t>8</w:t>
      </w:r>
      <w:r w:rsidRPr="0050243A">
        <w:rPr>
          <w:color w:val="000000"/>
          <w:sz w:val="20"/>
          <w:szCs w:val="20"/>
        </w:rPr>
        <w:t>(1), 1–13.</w:t>
      </w:r>
    </w:p>
    <w:p w14:paraId="27D29713"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Ratha, D., Chandra, V., Kim, E. J., Plaza, S., &amp; Mahmood, A. (2024). Remittances Slowed </w:t>
      </w:r>
      <w:proofErr w:type="gramStart"/>
      <w:r w:rsidRPr="0050243A">
        <w:rPr>
          <w:color w:val="000000"/>
          <w:sz w:val="20"/>
          <w:szCs w:val="20"/>
        </w:rPr>
        <w:t>in  2023</w:t>
      </w:r>
      <w:proofErr w:type="gramEnd"/>
      <w:r w:rsidRPr="0050243A">
        <w:rPr>
          <w:color w:val="000000"/>
          <w:sz w:val="20"/>
          <w:szCs w:val="20"/>
        </w:rPr>
        <w:t xml:space="preserve">, Expected to Grow Faster in 2024. </w:t>
      </w:r>
      <w:r w:rsidRPr="0050243A">
        <w:rPr>
          <w:i/>
          <w:iCs/>
          <w:color w:val="000000"/>
          <w:sz w:val="20"/>
          <w:szCs w:val="20"/>
        </w:rPr>
        <w:t>World Bank Publications</w:t>
      </w:r>
      <w:r w:rsidRPr="0050243A">
        <w:rPr>
          <w:color w:val="000000"/>
          <w:sz w:val="20"/>
          <w:szCs w:val="20"/>
        </w:rPr>
        <w:t xml:space="preserve">, </w:t>
      </w:r>
      <w:r w:rsidRPr="0050243A">
        <w:rPr>
          <w:i/>
          <w:iCs/>
          <w:color w:val="000000"/>
          <w:sz w:val="20"/>
          <w:szCs w:val="20"/>
        </w:rPr>
        <w:t>40</w:t>
      </w:r>
      <w:r w:rsidRPr="0050243A">
        <w:rPr>
          <w:color w:val="000000"/>
          <w:sz w:val="20"/>
          <w:szCs w:val="20"/>
        </w:rPr>
        <w:t>(June), 1–55.</w:t>
      </w:r>
    </w:p>
    <w:p w14:paraId="54FA74DD"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Ratha, D., Plaza, S., Kim, E. J., Chandra, V., Kurasha, N., &amp; Pradhan, B. (2023). Migration and development brief 38: Remittances remain resilient but are slowing. </w:t>
      </w:r>
      <w:r w:rsidRPr="0050243A">
        <w:rPr>
          <w:i/>
          <w:iCs/>
          <w:color w:val="000000"/>
          <w:sz w:val="20"/>
          <w:szCs w:val="20"/>
        </w:rPr>
        <w:t>KNOMAD-World Bank, Washington, DC.” License: Creative Commons Attribution CC BY</w:t>
      </w:r>
      <w:r w:rsidRPr="0050243A">
        <w:rPr>
          <w:color w:val="000000"/>
          <w:sz w:val="20"/>
          <w:szCs w:val="20"/>
        </w:rPr>
        <w:t xml:space="preserve">, </w:t>
      </w:r>
      <w:r w:rsidRPr="0050243A">
        <w:rPr>
          <w:i/>
          <w:iCs/>
          <w:color w:val="000000"/>
          <w:sz w:val="20"/>
          <w:szCs w:val="20"/>
        </w:rPr>
        <w:t>3</w:t>
      </w:r>
      <w:r w:rsidRPr="0050243A">
        <w:rPr>
          <w:color w:val="000000"/>
          <w:sz w:val="20"/>
          <w:szCs w:val="20"/>
        </w:rPr>
        <w:t>.</w:t>
      </w:r>
    </w:p>
    <w:p w14:paraId="27622EA2"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lastRenderedPageBreak/>
        <w:t xml:space="preserve">Saima Munawar, Mirza Aqeel Baig, &amp; Masood. (2021). Impact of Remittance on Economic Growth of Pakistan. </w:t>
      </w:r>
      <w:r w:rsidRPr="0050243A">
        <w:rPr>
          <w:i/>
          <w:iCs/>
          <w:color w:val="000000"/>
          <w:sz w:val="20"/>
          <w:szCs w:val="20"/>
        </w:rPr>
        <w:t>Reviews of Management Sciences</w:t>
      </w:r>
      <w:r w:rsidRPr="0050243A">
        <w:rPr>
          <w:color w:val="000000"/>
          <w:sz w:val="20"/>
          <w:szCs w:val="20"/>
        </w:rPr>
        <w:t xml:space="preserve">, </w:t>
      </w:r>
      <w:r w:rsidRPr="0050243A">
        <w:rPr>
          <w:i/>
          <w:iCs/>
          <w:color w:val="000000"/>
          <w:sz w:val="20"/>
          <w:szCs w:val="20"/>
        </w:rPr>
        <w:t>1</w:t>
      </w:r>
      <w:r w:rsidRPr="0050243A">
        <w:rPr>
          <w:color w:val="000000"/>
          <w:sz w:val="20"/>
          <w:szCs w:val="20"/>
        </w:rPr>
        <w:t>(1). https://doi.org/10.53909/rms.01.01.061</w:t>
      </w:r>
    </w:p>
    <w:p w14:paraId="7CA3C95A" w14:textId="77777777" w:rsidR="000B7304" w:rsidRPr="0050243A" w:rsidRDefault="000B7304" w:rsidP="000B7304">
      <w:pPr>
        <w:spacing w:line="324" w:lineRule="auto"/>
        <w:ind w:left="567" w:right="79" w:hanging="567"/>
        <w:jc w:val="both"/>
        <w:rPr>
          <w:color w:val="000000"/>
          <w:sz w:val="20"/>
          <w:szCs w:val="20"/>
        </w:rPr>
      </w:pPr>
      <w:proofErr w:type="spellStart"/>
      <w:r w:rsidRPr="0050243A">
        <w:rPr>
          <w:color w:val="000000"/>
          <w:sz w:val="20"/>
          <w:szCs w:val="20"/>
        </w:rPr>
        <w:t>Saptono</w:t>
      </w:r>
      <w:proofErr w:type="spellEnd"/>
      <w:r w:rsidRPr="0050243A">
        <w:rPr>
          <w:color w:val="000000"/>
          <w:sz w:val="20"/>
          <w:szCs w:val="20"/>
        </w:rPr>
        <w:t xml:space="preserve">, P. B., Mahmud, G., &amp; Lei, L.-F. (2022). Do international remittances promote poverty alleviation? Evidence from low-and middle-income countries. </w:t>
      </w:r>
      <w:r w:rsidRPr="0050243A">
        <w:rPr>
          <w:i/>
          <w:iCs/>
          <w:color w:val="000000"/>
          <w:sz w:val="20"/>
          <w:szCs w:val="20"/>
        </w:rPr>
        <w:t>IZA Journal of Development and Migration</w:t>
      </w:r>
      <w:r w:rsidRPr="0050243A">
        <w:rPr>
          <w:color w:val="000000"/>
          <w:sz w:val="20"/>
          <w:szCs w:val="20"/>
        </w:rPr>
        <w:t xml:space="preserve">, </w:t>
      </w:r>
      <w:r w:rsidRPr="0050243A">
        <w:rPr>
          <w:i/>
          <w:iCs/>
          <w:color w:val="000000"/>
          <w:sz w:val="20"/>
          <w:szCs w:val="20"/>
        </w:rPr>
        <w:t>13</w:t>
      </w:r>
      <w:r w:rsidRPr="0050243A">
        <w:rPr>
          <w:color w:val="000000"/>
          <w:sz w:val="20"/>
          <w:szCs w:val="20"/>
        </w:rPr>
        <w:t>(1), 1–20.</w:t>
      </w:r>
    </w:p>
    <w:p w14:paraId="32706CFE"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Siddiqui, T. (2016). International labor migration and remittance. In </w:t>
      </w:r>
      <w:r w:rsidRPr="0050243A">
        <w:rPr>
          <w:i/>
          <w:iCs/>
          <w:color w:val="000000"/>
          <w:sz w:val="20"/>
          <w:szCs w:val="20"/>
        </w:rPr>
        <w:t>Routledge handbook of contemporary Bangladesh</w:t>
      </w:r>
      <w:r w:rsidRPr="0050243A">
        <w:rPr>
          <w:color w:val="000000"/>
          <w:sz w:val="20"/>
          <w:szCs w:val="20"/>
        </w:rPr>
        <w:t xml:space="preserve"> (pp. 197–206). Routledge.</w:t>
      </w:r>
    </w:p>
    <w:p w14:paraId="1E122A50"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Tsay, R. S. (1998). Testing and modeling multivariate threshold models. </w:t>
      </w:r>
      <w:r w:rsidRPr="0050243A">
        <w:rPr>
          <w:i/>
          <w:iCs/>
          <w:color w:val="000000"/>
          <w:sz w:val="20"/>
          <w:szCs w:val="20"/>
        </w:rPr>
        <w:t>Journal of the American Statistical Association</w:t>
      </w:r>
      <w:r w:rsidRPr="0050243A">
        <w:rPr>
          <w:color w:val="000000"/>
          <w:sz w:val="20"/>
          <w:szCs w:val="20"/>
        </w:rPr>
        <w:t xml:space="preserve">, </w:t>
      </w:r>
      <w:r w:rsidRPr="0050243A">
        <w:rPr>
          <w:i/>
          <w:iCs/>
          <w:color w:val="000000"/>
          <w:sz w:val="20"/>
          <w:szCs w:val="20"/>
        </w:rPr>
        <w:t>93</w:t>
      </w:r>
      <w:r w:rsidRPr="0050243A">
        <w:rPr>
          <w:color w:val="000000"/>
          <w:sz w:val="20"/>
          <w:szCs w:val="20"/>
        </w:rPr>
        <w:t>(443), 1188–1202.</w:t>
      </w:r>
    </w:p>
    <w:p w14:paraId="39EDF0F7"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Vogelsang, T. J., &amp; Wagner, M. (2013). A fixed-b perspective on the Phillips–Perron unit root tests. </w:t>
      </w:r>
      <w:r w:rsidRPr="0050243A">
        <w:rPr>
          <w:i/>
          <w:iCs/>
          <w:color w:val="000000"/>
          <w:sz w:val="20"/>
          <w:szCs w:val="20"/>
        </w:rPr>
        <w:t>Econometric Theory</w:t>
      </w:r>
      <w:r w:rsidRPr="0050243A">
        <w:rPr>
          <w:color w:val="000000"/>
          <w:sz w:val="20"/>
          <w:szCs w:val="20"/>
        </w:rPr>
        <w:t xml:space="preserve">, </w:t>
      </w:r>
      <w:r w:rsidRPr="0050243A">
        <w:rPr>
          <w:i/>
          <w:iCs/>
          <w:color w:val="000000"/>
          <w:sz w:val="20"/>
          <w:szCs w:val="20"/>
        </w:rPr>
        <w:t>29</w:t>
      </w:r>
      <w:r w:rsidRPr="0050243A">
        <w:rPr>
          <w:color w:val="000000"/>
          <w:sz w:val="20"/>
          <w:szCs w:val="20"/>
        </w:rPr>
        <w:t>(3), 609–628.</w:t>
      </w:r>
    </w:p>
    <w:p w14:paraId="78420C84" w14:textId="77777777" w:rsidR="000B7304" w:rsidRPr="0050243A" w:rsidRDefault="000B7304" w:rsidP="000B7304">
      <w:pPr>
        <w:spacing w:line="324" w:lineRule="auto"/>
        <w:ind w:left="567" w:right="79" w:hanging="567"/>
        <w:jc w:val="both"/>
        <w:rPr>
          <w:color w:val="000000"/>
          <w:sz w:val="20"/>
          <w:szCs w:val="20"/>
        </w:rPr>
      </w:pPr>
      <w:r w:rsidRPr="0050243A">
        <w:rPr>
          <w:color w:val="000000"/>
          <w:sz w:val="20"/>
          <w:szCs w:val="20"/>
        </w:rPr>
        <w:t xml:space="preserve">“World Bank Database.” (n.d.). Accessed: Feb. 20, 2025. [Online],”. </w:t>
      </w:r>
      <w:r w:rsidRPr="0050243A">
        <w:rPr>
          <w:i/>
          <w:iCs/>
          <w:color w:val="000000"/>
          <w:sz w:val="20"/>
          <w:szCs w:val="20"/>
        </w:rPr>
        <w:t>Available: Https://Data.Worldbank.Org/Country/BD.</w:t>
      </w:r>
    </w:p>
    <w:p w14:paraId="25EF54FA" w14:textId="77777777" w:rsidR="000B7304" w:rsidRDefault="000B7304" w:rsidP="008546EF">
      <w:pPr>
        <w:tabs>
          <w:tab w:val="left" w:pos="2554"/>
        </w:tabs>
        <w:ind w:right="78"/>
        <w:jc w:val="both"/>
        <w:rPr>
          <w:b/>
          <w:bCs/>
          <w:color w:val="000000" w:themeColor="text1"/>
          <w:sz w:val="20"/>
          <w:szCs w:val="20"/>
        </w:rPr>
      </w:pPr>
    </w:p>
    <w:p w14:paraId="3B45766E" w14:textId="77777777" w:rsidR="000B7304" w:rsidRPr="0050243A" w:rsidRDefault="000B7304" w:rsidP="008546EF">
      <w:pPr>
        <w:tabs>
          <w:tab w:val="left" w:pos="2554"/>
        </w:tabs>
        <w:ind w:right="78"/>
        <w:jc w:val="both"/>
        <w:rPr>
          <w:b/>
          <w:bCs/>
          <w:color w:val="000000" w:themeColor="text1"/>
          <w:sz w:val="20"/>
          <w:szCs w:val="20"/>
        </w:rPr>
      </w:pPr>
    </w:p>
    <w:p w14:paraId="2C582EAD" w14:textId="77777777" w:rsidR="00191ABF" w:rsidRPr="0050243A" w:rsidRDefault="00191ABF" w:rsidP="008546EF">
      <w:pPr>
        <w:ind w:right="78"/>
        <w:rPr>
          <w:color w:val="000000" w:themeColor="text1"/>
          <w:sz w:val="20"/>
          <w:szCs w:val="20"/>
        </w:rPr>
      </w:pPr>
    </w:p>
    <w:p w14:paraId="22FA2EEE" w14:textId="77777777" w:rsidR="00191ABF" w:rsidRDefault="00191ABF" w:rsidP="008546EF">
      <w:pPr>
        <w:ind w:right="78"/>
        <w:jc w:val="center"/>
        <w:rPr>
          <w:b/>
          <w:bCs/>
          <w:sz w:val="22"/>
          <w:szCs w:val="22"/>
        </w:rPr>
      </w:pPr>
    </w:p>
    <w:p w14:paraId="27DA7A01" w14:textId="77777777" w:rsidR="00191ABF" w:rsidRDefault="00191ABF" w:rsidP="008546EF">
      <w:pPr>
        <w:ind w:right="78"/>
        <w:jc w:val="center"/>
        <w:rPr>
          <w:b/>
          <w:bCs/>
          <w:sz w:val="22"/>
          <w:szCs w:val="22"/>
        </w:rPr>
      </w:pPr>
    </w:p>
    <w:p w14:paraId="7877F16C" w14:textId="77777777" w:rsidR="00191ABF" w:rsidRDefault="00191ABF" w:rsidP="008546EF">
      <w:pPr>
        <w:ind w:right="78"/>
        <w:jc w:val="center"/>
        <w:rPr>
          <w:b/>
          <w:bCs/>
          <w:sz w:val="22"/>
          <w:szCs w:val="22"/>
        </w:rPr>
      </w:pPr>
    </w:p>
    <w:p w14:paraId="3BDC25A9" w14:textId="77777777" w:rsidR="00191ABF" w:rsidRDefault="00191ABF" w:rsidP="008546EF">
      <w:pPr>
        <w:ind w:right="78"/>
        <w:jc w:val="center"/>
        <w:rPr>
          <w:b/>
          <w:bCs/>
          <w:sz w:val="22"/>
          <w:szCs w:val="22"/>
        </w:rPr>
      </w:pPr>
    </w:p>
    <w:bookmarkEnd w:id="1"/>
    <w:p w14:paraId="4211B4E5" w14:textId="77777777" w:rsidR="00191ABF" w:rsidRDefault="00191ABF" w:rsidP="008546EF">
      <w:pPr>
        <w:ind w:right="78"/>
        <w:jc w:val="center"/>
        <w:rPr>
          <w:b/>
          <w:bCs/>
          <w:sz w:val="22"/>
          <w:szCs w:val="22"/>
        </w:rPr>
      </w:pPr>
    </w:p>
    <w:sectPr w:rsidR="00191ABF" w:rsidSect="006A4BB1">
      <w:headerReference w:type="even" r:id="rId13"/>
      <w:headerReference w:type="default" r:id="rId14"/>
      <w:footerReference w:type="even" r:id="rId15"/>
      <w:footerReference w:type="default" r:id="rId16"/>
      <w:headerReference w:type="first" r:id="rId17"/>
      <w:footerReference w:type="first" r:id="rId18"/>
      <w:footnotePr>
        <w:numFmt w:val="chicago"/>
        <w:numRestart w:val="eachSect"/>
      </w:footnotePr>
      <w:endnotePr>
        <w:numRestart w:val="eachSect"/>
      </w:endnotePr>
      <w:pgSz w:w="10800" w:h="14400" w:code="9"/>
      <w:pgMar w:top="1151" w:right="1440" w:bottom="1151" w:left="1627" w:header="720" w:footer="720" w:gutter="0"/>
      <w:pgNumType w:start="7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BBFF7" w14:textId="77777777" w:rsidR="00332234" w:rsidRDefault="00332234">
      <w:r>
        <w:separator/>
      </w:r>
    </w:p>
  </w:endnote>
  <w:endnote w:type="continuationSeparator" w:id="0">
    <w:p w14:paraId="77012DBD" w14:textId="77777777" w:rsidR="00332234" w:rsidRDefault="00332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MR10">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Nikosh">
    <w:charset w:val="00"/>
    <w:family w:val="auto"/>
    <w:pitch w:val="variable"/>
    <w:sig w:usb0="00018003" w:usb1="00000000" w:usb2="00000000" w:usb3="00000000" w:csb0="00000001" w:csb1="00000000"/>
  </w:font>
  <w:font w:name="SutonnyMJ">
    <w:panose1 w:val="00000000000000000000"/>
    <w:charset w:val="00"/>
    <w:family w:val="auto"/>
    <w:pitch w:val="variable"/>
    <w:sig w:usb0="00000003" w:usb1="00000000" w:usb2="00000000" w:usb3="00000000" w:csb0="00000001" w:csb1="00000000"/>
  </w:font>
  <w:font w:name="NikoshBAN">
    <w:panose1 w:val="00000000000000000000"/>
    <w:charset w:val="00"/>
    <w:family w:val="auto"/>
    <w:notTrueType/>
    <w:pitch w:val="variable"/>
    <w:sig w:usb0="00000003" w:usb1="00000000" w:usb2="00000000" w:usb3="00000000" w:csb0="00000001" w:csb1="00000000"/>
  </w:font>
  <w:font w:name="Charter BT">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066349"/>
      <w:docPartObj>
        <w:docPartGallery w:val="Page Numbers (Bottom of Page)"/>
        <w:docPartUnique/>
      </w:docPartObj>
    </w:sdtPr>
    <w:sdtEndPr>
      <w:rPr>
        <w:noProof/>
        <w:sz w:val="20"/>
        <w:szCs w:val="20"/>
      </w:rPr>
    </w:sdtEndPr>
    <w:sdtContent>
      <w:p w14:paraId="7875706D" w14:textId="77777777" w:rsidR="002C3FB9" w:rsidRPr="00E26768" w:rsidRDefault="00487356">
        <w:pPr>
          <w:pStyle w:val="Footer"/>
          <w:jc w:val="center"/>
          <w:rPr>
            <w:sz w:val="20"/>
            <w:szCs w:val="20"/>
          </w:rPr>
        </w:pPr>
        <w:r w:rsidRPr="00E26768">
          <w:rPr>
            <w:sz w:val="20"/>
            <w:szCs w:val="20"/>
          </w:rPr>
          <w:fldChar w:fldCharType="begin"/>
        </w:r>
        <w:r w:rsidR="002C3FB9" w:rsidRPr="00E26768">
          <w:rPr>
            <w:sz w:val="20"/>
            <w:szCs w:val="20"/>
          </w:rPr>
          <w:instrText xml:space="preserve"> PAGE   \* MERGEFORMAT </w:instrText>
        </w:r>
        <w:r w:rsidRPr="00E26768">
          <w:rPr>
            <w:sz w:val="20"/>
            <w:szCs w:val="20"/>
          </w:rPr>
          <w:fldChar w:fldCharType="separate"/>
        </w:r>
        <w:r w:rsidR="006267E4">
          <w:rPr>
            <w:noProof/>
            <w:sz w:val="20"/>
            <w:szCs w:val="20"/>
          </w:rPr>
          <w:t>16</w:t>
        </w:r>
        <w:r w:rsidRPr="00E26768">
          <w:rPr>
            <w:noProof/>
            <w:sz w:val="20"/>
            <w:szCs w:val="20"/>
          </w:rPr>
          <w:fldChar w:fldCharType="end"/>
        </w:r>
      </w:p>
    </w:sdtContent>
  </w:sdt>
  <w:p w14:paraId="4C670786" w14:textId="77777777" w:rsidR="002C3FB9" w:rsidRPr="00E26768" w:rsidRDefault="002C3FB9" w:rsidP="00E26768">
    <w:pPr>
      <w:pStyle w:val="Footer"/>
      <w:jc w:val="center"/>
      <w:rPr>
        <w:sz w:val="20"/>
        <w:szCs w:val="20"/>
      </w:rPr>
    </w:pPr>
  </w:p>
  <w:p w14:paraId="27987852" w14:textId="77777777" w:rsidR="002C3FB9" w:rsidRDefault="002C3F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175752"/>
      <w:docPartObj>
        <w:docPartGallery w:val="Page Numbers (Bottom of Page)"/>
        <w:docPartUnique/>
      </w:docPartObj>
    </w:sdtPr>
    <w:sdtEndPr>
      <w:rPr>
        <w:noProof/>
        <w:sz w:val="20"/>
        <w:szCs w:val="20"/>
      </w:rPr>
    </w:sdtEndPr>
    <w:sdtContent>
      <w:p w14:paraId="5D17890C" w14:textId="77777777" w:rsidR="002C3FB9" w:rsidRPr="00E74F1E" w:rsidRDefault="00487356">
        <w:pPr>
          <w:pStyle w:val="Footer"/>
          <w:jc w:val="center"/>
          <w:rPr>
            <w:sz w:val="20"/>
            <w:szCs w:val="20"/>
          </w:rPr>
        </w:pPr>
        <w:r w:rsidRPr="00E74F1E">
          <w:rPr>
            <w:sz w:val="20"/>
            <w:szCs w:val="20"/>
          </w:rPr>
          <w:fldChar w:fldCharType="begin"/>
        </w:r>
        <w:r w:rsidR="002C3FB9" w:rsidRPr="00E74F1E">
          <w:rPr>
            <w:sz w:val="20"/>
            <w:szCs w:val="20"/>
          </w:rPr>
          <w:instrText xml:space="preserve"> PAGE   \* MERGEFORMAT </w:instrText>
        </w:r>
        <w:r w:rsidRPr="00E74F1E">
          <w:rPr>
            <w:sz w:val="20"/>
            <w:szCs w:val="20"/>
          </w:rPr>
          <w:fldChar w:fldCharType="separate"/>
        </w:r>
        <w:r w:rsidR="006267E4">
          <w:rPr>
            <w:noProof/>
            <w:sz w:val="20"/>
            <w:szCs w:val="20"/>
          </w:rPr>
          <w:t>15</w:t>
        </w:r>
        <w:r w:rsidRPr="00E74F1E">
          <w:rPr>
            <w:noProof/>
            <w:sz w:val="20"/>
            <w:szCs w:val="20"/>
          </w:rPr>
          <w:fldChar w:fldCharType="end"/>
        </w:r>
      </w:p>
    </w:sdtContent>
  </w:sdt>
  <w:p w14:paraId="6AF17FF4" w14:textId="77777777" w:rsidR="002C3FB9" w:rsidRDefault="002C3FB9" w:rsidP="00E74F1E">
    <w:pPr>
      <w:pStyle w:val="Footer"/>
      <w:jc w:val="center"/>
    </w:pPr>
  </w:p>
  <w:p w14:paraId="4DC69160" w14:textId="77777777" w:rsidR="002C3FB9" w:rsidRDefault="002C3F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6408" w14:textId="77777777" w:rsidR="002C3FB9" w:rsidRPr="00DF52ED" w:rsidRDefault="002C3FB9">
    <w:pPr>
      <w:pStyle w:val="Footer"/>
      <w:jc w:val="center"/>
      <w:rPr>
        <w:sz w:val="20"/>
        <w:szCs w:val="20"/>
      </w:rPr>
    </w:pPr>
  </w:p>
  <w:p w14:paraId="5DB04DF0" w14:textId="77777777" w:rsidR="002C3FB9" w:rsidRDefault="002C3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6C870" w14:textId="77777777" w:rsidR="00332234" w:rsidRDefault="00332234">
      <w:r>
        <w:separator/>
      </w:r>
    </w:p>
  </w:footnote>
  <w:footnote w:type="continuationSeparator" w:id="0">
    <w:p w14:paraId="7042A10F" w14:textId="77777777" w:rsidR="00332234" w:rsidRDefault="00332234">
      <w:r>
        <w:continuationSeparator/>
      </w:r>
    </w:p>
  </w:footnote>
  <w:footnote w:id="1">
    <w:p w14:paraId="2D3D448C" w14:textId="127DC567" w:rsidR="00037A7C" w:rsidRPr="00037A7C" w:rsidRDefault="00037A7C">
      <w:pPr>
        <w:pStyle w:val="FootnoteText"/>
        <w:rPr>
          <w:sz w:val="18"/>
          <w:szCs w:val="18"/>
        </w:rPr>
      </w:pPr>
      <w:r>
        <w:rPr>
          <w:rStyle w:val="FootnoteReference"/>
        </w:rPr>
        <w:footnoteRef/>
      </w:r>
      <w:r>
        <w:t xml:space="preserve"> </w:t>
      </w:r>
      <w:r w:rsidRPr="00037A7C">
        <w:rPr>
          <w:sz w:val="18"/>
          <w:szCs w:val="18"/>
        </w:rPr>
        <w:t>Corresponding author: sifat@juniv.edu</w:t>
      </w:r>
    </w:p>
    <w:p w14:paraId="7BC0E891" w14:textId="749111F5" w:rsidR="00037A7C" w:rsidRDefault="00037A7C">
      <w:pPr>
        <w:pStyle w:val="FootnoteText"/>
      </w:pPr>
      <w:r w:rsidRPr="00037A7C">
        <w:rPr>
          <w:sz w:val="18"/>
          <w:szCs w:val="18"/>
        </w:rPr>
        <w:t>© Department of Statistics and Data Science, Jahangirnagar University, Savar, Dhaka-1342, Bangladesh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E106" w14:textId="7793DAF9" w:rsidR="002C3FB9" w:rsidRDefault="002C3FB9">
    <w:pPr>
      <w:pStyle w:val="Header"/>
      <w:framePr w:wrap="around" w:vAnchor="text" w:hAnchor="page" w:x="1585" w:y="1"/>
      <w:rPr>
        <w:rStyle w:val="PageNumber"/>
        <w:sz w:val="20"/>
      </w:rPr>
    </w:pPr>
    <w:r>
      <w:rPr>
        <w:rStyle w:val="PageNumber"/>
        <w:sz w:val="20"/>
      </w:rPr>
      <w:t xml:space="preserve">JUJSS                                                                                                  </w:t>
    </w:r>
    <w:r w:rsidR="00BD4501">
      <w:rPr>
        <w:rStyle w:val="PageNumber"/>
        <w:sz w:val="20"/>
      </w:rPr>
      <w:t xml:space="preserve">             </w:t>
    </w:r>
    <w:r w:rsidR="00BD4501">
      <w:rPr>
        <w:i/>
        <w:iCs/>
        <w:sz w:val="18"/>
      </w:rPr>
      <w:t>Shah</w:t>
    </w:r>
    <w:r w:rsidR="00EE4D96">
      <w:rPr>
        <w:i/>
        <w:iCs/>
        <w:sz w:val="18"/>
      </w:rPr>
      <w:t>, A</w:t>
    </w:r>
    <w:r w:rsidR="00BD4501">
      <w:rPr>
        <w:i/>
        <w:iCs/>
        <w:sz w:val="18"/>
      </w:rPr>
      <w:t>min</w:t>
    </w:r>
    <w:r w:rsidR="00EE4D96">
      <w:rPr>
        <w:i/>
        <w:iCs/>
        <w:sz w:val="18"/>
      </w:rPr>
      <w:t xml:space="preserve">, </w:t>
    </w:r>
    <w:r w:rsidR="00BD4501">
      <w:rPr>
        <w:i/>
        <w:iCs/>
        <w:sz w:val="18"/>
      </w:rPr>
      <w:t>and Salan</w:t>
    </w:r>
  </w:p>
  <w:p w14:paraId="7E46584D" w14:textId="77777777" w:rsidR="002C3FB9" w:rsidRPr="00304929" w:rsidRDefault="002C3FB9" w:rsidP="00304929">
    <w:pPr>
      <w:pStyle w:val="Header"/>
      <w:jc w:val="right"/>
      <w:rPr>
        <w:i/>
        <w:iCs/>
        <w:sz w:val="18"/>
      </w:rPr>
    </w:pPr>
  </w:p>
  <w:p w14:paraId="6BB679DB" w14:textId="77777777" w:rsidR="002C3FB9" w:rsidRDefault="002C3FB9" w:rsidP="00651969">
    <w:pPr>
      <w:tabs>
        <w:tab w:val="left" w:pos="1172"/>
      </w:tabs>
    </w:pPr>
  </w:p>
  <w:p w14:paraId="526DB860" w14:textId="77777777" w:rsidR="002C3FB9" w:rsidRDefault="002C3F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07D7" w14:textId="213247B8" w:rsidR="002C3FB9" w:rsidRDefault="00906281" w:rsidP="00262B2F">
    <w:pPr>
      <w:pStyle w:val="Header"/>
      <w:jc w:val="center"/>
      <w:rPr>
        <w:i/>
        <w:sz w:val="18"/>
        <w:szCs w:val="18"/>
      </w:rPr>
    </w:pPr>
    <w:r w:rsidRPr="00906281">
      <w:rPr>
        <w:i/>
        <w:sz w:val="18"/>
        <w:szCs w:val="18"/>
      </w:rPr>
      <w:t>Unveiling Macroeconomic and Institutional Determinants</w:t>
    </w:r>
    <w:r w:rsidR="002C3FB9">
      <w:rPr>
        <w:i/>
        <w:sz w:val="18"/>
        <w:szCs w:val="18"/>
      </w:rPr>
      <w:t>…</w:t>
    </w:r>
  </w:p>
  <w:p w14:paraId="215DB85F" w14:textId="77777777" w:rsidR="002C3FB9" w:rsidRPr="001A46E1" w:rsidRDefault="002C3FB9" w:rsidP="00262B2F">
    <w:pPr>
      <w:pStyle w:val="Header"/>
      <w:jc w:val="center"/>
      <w:rPr>
        <w:i/>
        <w:sz w:val="18"/>
        <w:szCs w:val="18"/>
      </w:rPr>
    </w:pPr>
  </w:p>
  <w:p w14:paraId="2376D254" w14:textId="77777777" w:rsidR="002C3FB9" w:rsidRDefault="002C3F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026"/>
      <w:gridCol w:w="5926"/>
      <w:gridCol w:w="997"/>
    </w:tblGrid>
    <w:tr w:rsidR="002C3FB9" w14:paraId="31FAE131" w14:textId="77777777" w:rsidTr="006A5818">
      <w:tc>
        <w:tcPr>
          <w:tcW w:w="1008" w:type="dxa"/>
        </w:tcPr>
        <w:p w14:paraId="5942D3A2" w14:textId="77777777" w:rsidR="002C3FB9" w:rsidRDefault="002C3FB9" w:rsidP="006A5818">
          <w:pPr>
            <w:pStyle w:val="Header"/>
            <w:jc w:val="center"/>
            <w:rPr>
              <w:sz w:val="18"/>
            </w:rPr>
          </w:pPr>
          <w:r>
            <w:rPr>
              <w:noProof/>
              <w:sz w:val="18"/>
            </w:rPr>
            <w:drawing>
              <wp:anchor distT="0" distB="0" distL="114300" distR="114300" simplePos="0" relativeHeight="251661312" behindDoc="0" locked="0" layoutInCell="1" allowOverlap="1" wp14:anchorId="6BCEB46F" wp14:editId="73ECFA03">
                <wp:simplePos x="0" y="0"/>
                <wp:positionH relativeFrom="column">
                  <wp:posOffset>-48895</wp:posOffset>
                </wp:positionH>
                <wp:positionV relativeFrom="paragraph">
                  <wp:posOffset>3175</wp:posOffset>
                </wp:positionV>
                <wp:extent cx="492760" cy="647065"/>
                <wp:effectExtent l="19050" t="0" r="2540" b="0"/>
                <wp:wrapSquare wrapText="left"/>
                <wp:docPr id="781644922" name="Picture 781644922" desc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
                        <pic:cNvPicPr>
                          <a:picLocks noChangeAspect="1" noChangeArrowheads="1"/>
                        </pic:cNvPicPr>
                      </pic:nvPicPr>
                      <pic:blipFill>
                        <a:blip r:embed="rId1"/>
                        <a:srcRect/>
                        <a:stretch>
                          <a:fillRect/>
                        </a:stretch>
                      </pic:blipFill>
                      <pic:spPr bwMode="auto">
                        <a:xfrm>
                          <a:off x="0" y="0"/>
                          <a:ext cx="492760" cy="647065"/>
                        </a:xfrm>
                        <a:prstGeom prst="rect">
                          <a:avLst/>
                        </a:prstGeom>
                        <a:noFill/>
                      </pic:spPr>
                    </pic:pic>
                  </a:graphicData>
                </a:graphic>
              </wp:anchor>
            </w:drawing>
          </w:r>
        </w:p>
      </w:tc>
      <w:tc>
        <w:tcPr>
          <w:tcW w:w="5940" w:type="dxa"/>
        </w:tcPr>
        <w:p w14:paraId="73BDCB6F" w14:textId="77777777" w:rsidR="002C3FB9" w:rsidRPr="00EA1994" w:rsidRDefault="002C3FB9" w:rsidP="006A5818">
          <w:pPr>
            <w:pStyle w:val="Header"/>
            <w:jc w:val="center"/>
          </w:pPr>
          <w:r w:rsidRPr="00EA1994">
            <w:t>Jahangirnagar University Journal of Statistical Studies</w:t>
          </w:r>
        </w:p>
        <w:p w14:paraId="53325C81" w14:textId="77777777" w:rsidR="002C3FB9" w:rsidRPr="00EA1994" w:rsidRDefault="002C3FB9" w:rsidP="006A5818">
          <w:pPr>
            <w:pStyle w:val="Header"/>
            <w:jc w:val="center"/>
            <w:rPr>
              <w:i/>
              <w:sz w:val="20"/>
            </w:rPr>
          </w:pPr>
          <w:r w:rsidRPr="00EA1994">
            <w:rPr>
              <w:i/>
              <w:sz w:val="20"/>
            </w:rPr>
            <w:t>ISSN 1022-4734</w:t>
          </w:r>
        </w:p>
        <w:p w14:paraId="4E13B261" w14:textId="77777777" w:rsidR="002C3FB9" w:rsidRDefault="002C3FB9" w:rsidP="006A5818">
          <w:pPr>
            <w:pStyle w:val="Header"/>
            <w:jc w:val="center"/>
            <w:rPr>
              <w:sz w:val="18"/>
            </w:rPr>
          </w:pPr>
        </w:p>
        <w:p w14:paraId="64AF1432" w14:textId="77777777" w:rsidR="002C3FB9" w:rsidRDefault="002C3FB9" w:rsidP="006A5818">
          <w:pPr>
            <w:pStyle w:val="Header"/>
            <w:jc w:val="center"/>
            <w:rPr>
              <w:sz w:val="18"/>
            </w:rPr>
          </w:pPr>
          <w:r w:rsidRPr="00EA1994">
            <w:rPr>
              <w:sz w:val="18"/>
            </w:rPr>
            <w:t>http://www.juniv.edu/department/stat</w:t>
          </w:r>
        </w:p>
      </w:tc>
      <w:tc>
        <w:tcPr>
          <w:tcW w:w="1001" w:type="dxa"/>
        </w:tcPr>
        <w:p w14:paraId="2BA69DA7" w14:textId="77777777" w:rsidR="002C3FB9" w:rsidRDefault="002C3FB9">
          <w:pPr>
            <w:pStyle w:val="Header"/>
            <w:jc w:val="right"/>
            <w:rPr>
              <w:sz w:val="18"/>
            </w:rPr>
          </w:pPr>
        </w:p>
      </w:tc>
    </w:tr>
  </w:tbl>
  <w:p w14:paraId="009DE042" w14:textId="2E623C0C" w:rsidR="002C3FB9" w:rsidRDefault="002C3FB9">
    <w:pPr>
      <w:pStyle w:val="Header"/>
      <w:rPr>
        <w:sz w:val="20"/>
      </w:rPr>
    </w:pPr>
    <w:r>
      <w:rPr>
        <w:sz w:val="20"/>
      </w:rPr>
      <w:t>JUJSS, Vol. 3</w:t>
    </w:r>
    <w:r w:rsidR="00E31529">
      <w:rPr>
        <w:sz w:val="20"/>
      </w:rPr>
      <w:t>8</w:t>
    </w:r>
    <w:r>
      <w:rPr>
        <w:sz w:val="20"/>
      </w:rPr>
      <w:t>, 202</w:t>
    </w:r>
    <w:r w:rsidR="002E1A3A">
      <w:rPr>
        <w:sz w:val="20"/>
      </w:rPr>
      <w:t>6</w:t>
    </w:r>
    <w:r>
      <w:rPr>
        <w:sz w:val="20"/>
      </w:rPr>
      <w:t>, pp.</w:t>
    </w:r>
    <w:r w:rsidR="006A4BB1">
      <w:rPr>
        <w:sz w:val="20"/>
      </w:rPr>
      <w:t>77</w:t>
    </w:r>
    <w:r w:rsidR="00C9558A">
      <w:rPr>
        <w:sz w:val="20"/>
      </w:rPr>
      <w:t>-</w:t>
    </w:r>
    <w:r w:rsidR="006A4BB1">
      <w:rPr>
        <w:sz w:val="20"/>
      </w:rPr>
      <w:t>99</w:t>
    </w:r>
    <w:r>
      <w:rPr>
        <w:sz w:val="20"/>
      </w:rPr>
      <w:t xml:space="preserve"> </w:t>
    </w:r>
  </w:p>
  <w:p w14:paraId="769094A1" w14:textId="77777777" w:rsidR="002C3FB9" w:rsidRDefault="002C3FB9" w:rsidP="00953C15">
    <w:pPr>
      <w:pStyle w:val="Header"/>
      <w:tabs>
        <w:tab w:val="clear" w:pos="4320"/>
        <w:tab w:val="clear" w:pos="8640"/>
        <w:tab w:val="left" w:pos="1359"/>
      </w:tabs>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69D"/>
    <w:multiLevelType w:val="hybridMultilevel"/>
    <w:tmpl w:val="71D20324"/>
    <w:lvl w:ilvl="0" w:tplc="86EA4B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66DA9"/>
    <w:multiLevelType w:val="multilevel"/>
    <w:tmpl w:val="82EE819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F0234"/>
    <w:multiLevelType w:val="hybridMultilevel"/>
    <w:tmpl w:val="90EA02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F5D0DE4"/>
    <w:multiLevelType w:val="hybridMultilevel"/>
    <w:tmpl w:val="29CCD5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25A5F"/>
    <w:multiLevelType w:val="hybridMultilevel"/>
    <w:tmpl w:val="33A6D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0F4EF9"/>
    <w:multiLevelType w:val="hybridMultilevel"/>
    <w:tmpl w:val="63869A98"/>
    <w:lvl w:ilvl="0" w:tplc="2774D524">
      <w:numFmt w:val="bullet"/>
      <w:lvlText w:val="•"/>
      <w:lvlJc w:val="left"/>
      <w:pPr>
        <w:ind w:left="1470" w:hanging="360"/>
      </w:pPr>
      <w:rPr>
        <w:rFonts w:ascii="Times New Roman" w:eastAsiaTheme="minorEastAsia" w:hAnsi="Times New Roman" w:cs="Times New Roman"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6" w15:restartNumberingAfterBreak="0">
    <w:nsid w:val="1FA42140"/>
    <w:multiLevelType w:val="hybridMultilevel"/>
    <w:tmpl w:val="7BA03D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B5301"/>
    <w:multiLevelType w:val="hybridMultilevel"/>
    <w:tmpl w:val="2A008AE6"/>
    <w:lvl w:ilvl="0" w:tplc="429CB170">
      <w:start w:val="1"/>
      <w:numFmt w:val="lowerRoman"/>
      <w:lvlText w:val="%1."/>
      <w:lvlJc w:val="right"/>
      <w:pPr>
        <w:ind w:left="2985" w:hanging="360"/>
      </w:pPr>
      <w:rPr>
        <w:rFonts w:hint="default"/>
        <w:b/>
        <w:i w:val="0"/>
      </w:rPr>
    </w:lvl>
    <w:lvl w:ilvl="1" w:tplc="04090019" w:tentative="1">
      <w:start w:val="1"/>
      <w:numFmt w:val="lowerLetter"/>
      <w:lvlText w:val="%2."/>
      <w:lvlJc w:val="left"/>
      <w:pPr>
        <w:ind w:left="3705" w:hanging="360"/>
      </w:pPr>
    </w:lvl>
    <w:lvl w:ilvl="2" w:tplc="0409001B" w:tentative="1">
      <w:start w:val="1"/>
      <w:numFmt w:val="lowerRoman"/>
      <w:lvlText w:val="%3."/>
      <w:lvlJc w:val="right"/>
      <w:pPr>
        <w:ind w:left="4425" w:hanging="180"/>
      </w:pPr>
    </w:lvl>
    <w:lvl w:ilvl="3" w:tplc="0409000F" w:tentative="1">
      <w:start w:val="1"/>
      <w:numFmt w:val="decimal"/>
      <w:lvlText w:val="%4."/>
      <w:lvlJc w:val="left"/>
      <w:pPr>
        <w:ind w:left="5145" w:hanging="360"/>
      </w:pPr>
    </w:lvl>
    <w:lvl w:ilvl="4" w:tplc="04090019" w:tentative="1">
      <w:start w:val="1"/>
      <w:numFmt w:val="lowerLetter"/>
      <w:lvlText w:val="%5."/>
      <w:lvlJc w:val="left"/>
      <w:pPr>
        <w:ind w:left="5865" w:hanging="360"/>
      </w:pPr>
    </w:lvl>
    <w:lvl w:ilvl="5" w:tplc="0409001B" w:tentative="1">
      <w:start w:val="1"/>
      <w:numFmt w:val="lowerRoman"/>
      <w:lvlText w:val="%6."/>
      <w:lvlJc w:val="right"/>
      <w:pPr>
        <w:ind w:left="6585" w:hanging="180"/>
      </w:pPr>
    </w:lvl>
    <w:lvl w:ilvl="6" w:tplc="0409000F" w:tentative="1">
      <w:start w:val="1"/>
      <w:numFmt w:val="decimal"/>
      <w:lvlText w:val="%7."/>
      <w:lvlJc w:val="left"/>
      <w:pPr>
        <w:ind w:left="7305" w:hanging="360"/>
      </w:pPr>
    </w:lvl>
    <w:lvl w:ilvl="7" w:tplc="04090019" w:tentative="1">
      <w:start w:val="1"/>
      <w:numFmt w:val="lowerLetter"/>
      <w:lvlText w:val="%8."/>
      <w:lvlJc w:val="left"/>
      <w:pPr>
        <w:ind w:left="8025" w:hanging="360"/>
      </w:pPr>
    </w:lvl>
    <w:lvl w:ilvl="8" w:tplc="0409001B" w:tentative="1">
      <w:start w:val="1"/>
      <w:numFmt w:val="lowerRoman"/>
      <w:lvlText w:val="%9."/>
      <w:lvlJc w:val="right"/>
      <w:pPr>
        <w:ind w:left="8745" w:hanging="180"/>
      </w:pPr>
    </w:lvl>
  </w:abstractNum>
  <w:abstractNum w:abstractNumId="8" w15:restartNumberingAfterBreak="0">
    <w:nsid w:val="2DED193C"/>
    <w:multiLevelType w:val="hybridMultilevel"/>
    <w:tmpl w:val="C4C42D00"/>
    <w:lvl w:ilvl="0" w:tplc="C908E004">
      <w:start w:val="1"/>
      <w:numFmt w:val="lowerRoman"/>
      <w:lvlText w:val="(%1)."/>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E1B6C0E"/>
    <w:multiLevelType w:val="multilevel"/>
    <w:tmpl w:val="F81A90B8"/>
    <w:lvl w:ilvl="0">
      <w:start w:val="1"/>
      <w:numFmt w:val="none"/>
      <w:lvlText w:val="5."/>
      <w:lvlJc w:val="left"/>
      <w:pPr>
        <w:ind w:left="288" w:hanging="28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E3D1C66"/>
    <w:multiLevelType w:val="hybridMultilevel"/>
    <w:tmpl w:val="74045128"/>
    <w:lvl w:ilvl="0" w:tplc="FB3CD6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2C4C15"/>
    <w:multiLevelType w:val="hybridMultilevel"/>
    <w:tmpl w:val="A20C246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B35D64"/>
    <w:multiLevelType w:val="hybridMultilevel"/>
    <w:tmpl w:val="35987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F37BBB"/>
    <w:multiLevelType w:val="hybridMultilevel"/>
    <w:tmpl w:val="B7583434"/>
    <w:lvl w:ilvl="0" w:tplc="66BE0C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BA3D09"/>
    <w:multiLevelType w:val="hybridMultilevel"/>
    <w:tmpl w:val="D6564FC2"/>
    <w:lvl w:ilvl="0" w:tplc="FB348716">
      <w:start w:val="1"/>
      <w:numFmt w:val="decimal"/>
      <w:lvlText w:val="%1."/>
      <w:lvlJc w:val="left"/>
      <w:pPr>
        <w:ind w:left="1485" w:hanging="375"/>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5" w15:restartNumberingAfterBreak="0">
    <w:nsid w:val="40C17A4B"/>
    <w:multiLevelType w:val="multilevel"/>
    <w:tmpl w:val="D1E86C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24F01B9"/>
    <w:multiLevelType w:val="hybridMultilevel"/>
    <w:tmpl w:val="65108C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7371EC"/>
    <w:multiLevelType w:val="hybridMultilevel"/>
    <w:tmpl w:val="99C6D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ED29E3"/>
    <w:multiLevelType w:val="hybridMultilevel"/>
    <w:tmpl w:val="CA20DE12"/>
    <w:lvl w:ilvl="0" w:tplc="FFE0EC66">
      <w:start w:val="1"/>
      <w:numFmt w:val="decimal"/>
      <w:lvlText w:val="%1."/>
      <w:lvlJc w:val="left"/>
      <w:pPr>
        <w:ind w:left="720" w:hanging="360"/>
      </w:pPr>
      <w:rPr>
        <w:rFonts w:asciiTheme="majorHAnsi" w:hAnsiTheme="majorHAnsi" w:cstheme="majorBidi" w:hint="default"/>
        <w:color w:val="4F81BD" w:themeColor="accent1"/>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8C194B"/>
    <w:multiLevelType w:val="multilevel"/>
    <w:tmpl w:val="28E2AC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193CB6"/>
    <w:multiLevelType w:val="hybridMultilevel"/>
    <w:tmpl w:val="B13AA0F0"/>
    <w:lvl w:ilvl="0" w:tplc="429CB170">
      <w:start w:val="1"/>
      <w:numFmt w:val="lowerRoman"/>
      <w:lvlText w:val="%1."/>
      <w:lvlJc w:val="right"/>
      <w:pPr>
        <w:ind w:left="183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AC33DC"/>
    <w:multiLevelType w:val="multilevel"/>
    <w:tmpl w:val="51DA96E4"/>
    <w:lvl w:ilvl="0">
      <w:start w:val="1"/>
      <w:numFmt w:val="decimal"/>
      <w:lvlText w:val="%1."/>
      <w:lvlJc w:val="left"/>
      <w:pPr>
        <w:ind w:left="288" w:hanging="28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1742710"/>
    <w:multiLevelType w:val="hybridMultilevel"/>
    <w:tmpl w:val="AF8AF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EA71A7"/>
    <w:multiLevelType w:val="hybridMultilevel"/>
    <w:tmpl w:val="D708E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137958"/>
    <w:multiLevelType w:val="multilevel"/>
    <w:tmpl w:val="5E76702A"/>
    <w:lvl w:ilvl="0">
      <w:start w:val="1"/>
      <w:numFmt w:val="none"/>
      <w:lvlText w:val="2.2"/>
      <w:lvlJc w:val="left"/>
      <w:pPr>
        <w:ind w:left="418" w:hanging="418"/>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A2A4435"/>
    <w:multiLevelType w:val="multilevel"/>
    <w:tmpl w:val="D8001A6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E790E94"/>
    <w:multiLevelType w:val="hybridMultilevel"/>
    <w:tmpl w:val="179AE088"/>
    <w:lvl w:ilvl="0" w:tplc="121ACBC6">
      <w:start w:val="1"/>
      <w:numFmt w:val="lowerRoman"/>
      <w:lvlText w:val="(%1)"/>
      <w:lvlJc w:val="left"/>
      <w:pPr>
        <w:ind w:left="1080" w:hanging="720"/>
      </w:pPr>
      <w:rPr>
        <w:rFonts w:hint="default"/>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195982"/>
    <w:multiLevelType w:val="hybridMultilevel"/>
    <w:tmpl w:val="89F03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F868F9"/>
    <w:multiLevelType w:val="multilevel"/>
    <w:tmpl w:val="9D7C0D42"/>
    <w:lvl w:ilvl="0">
      <w:start w:val="1"/>
      <w:numFmt w:val="none"/>
      <w:lvlText w:val="2.3"/>
      <w:lvlJc w:val="left"/>
      <w:pPr>
        <w:ind w:left="418" w:hanging="418"/>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FE5756A"/>
    <w:multiLevelType w:val="hybridMultilevel"/>
    <w:tmpl w:val="36F49FE4"/>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0" w15:restartNumberingAfterBreak="0">
    <w:nsid w:val="74AC409B"/>
    <w:multiLevelType w:val="hybridMultilevel"/>
    <w:tmpl w:val="86E0B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264763"/>
    <w:multiLevelType w:val="hybridMultilevel"/>
    <w:tmpl w:val="B6F686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D16121"/>
    <w:multiLevelType w:val="multilevel"/>
    <w:tmpl w:val="7A885268"/>
    <w:lvl w:ilvl="0">
      <w:start w:val="1"/>
      <w:numFmt w:val="none"/>
      <w:lvlText w:val="2."/>
      <w:lvlJc w:val="left"/>
      <w:pPr>
        <w:ind w:left="288" w:hanging="28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D865040"/>
    <w:multiLevelType w:val="multilevel"/>
    <w:tmpl w:val="ADAE8698"/>
    <w:lvl w:ilvl="0">
      <w:start w:val="1"/>
      <w:numFmt w:val="none"/>
      <w:lvlText w:val="2.1"/>
      <w:lvlJc w:val="left"/>
      <w:pPr>
        <w:ind w:left="418" w:hanging="418"/>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33187734">
    <w:abstractNumId w:val="21"/>
  </w:num>
  <w:num w:numId="2" w16cid:durableId="1837645579">
    <w:abstractNumId w:val="32"/>
  </w:num>
  <w:num w:numId="3" w16cid:durableId="136798379">
    <w:abstractNumId w:val="33"/>
  </w:num>
  <w:num w:numId="4" w16cid:durableId="314998004">
    <w:abstractNumId w:val="24"/>
  </w:num>
  <w:num w:numId="5" w16cid:durableId="765539437">
    <w:abstractNumId w:val="28"/>
  </w:num>
  <w:num w:numId="6" w16cid:durableId="1451975825">
    <w:abstractNumId w:val="9"/>
  </w:num>
  <w:num w:numId="7" w16cid:durableId="2044472709">
    <w:abstractNumId w:val="1"/>
  </w:num>
  <w:num w:numId="8" w16cid:durableId="512378089">
    <w:abstractNumId w:val="0"/>
  </w:num>
  <w:num w:numId="9" w16cid:durableId="2033410545">
    <w:abstractNumId w:val="20"/>
  </w:num>
  <w:num w:numId="10" w16cid:durableId="1555776664">
    <w:abstractNumId w:val="5"/>
  </w:num>
  <w:num w:numId="11" w16cid:durableId="1336765679">
    <w:abstractNumId w:val="14"/>
  </w:num>
  <w:num w:numId="12" w16cid:durableId="1036663152">
    <w:abstractNumId w:val="7"/>
  </w:num>
  <w:num w:numId="13" w16cid:durableId="182518200">
    <w:abstractNumId w:val="26"/>
  </w:num>
  <w:num w:numId="14" w16cid:durableId="1924952208">
    <w:abstractNumId w:val="10"/>
  </w:num>
  <w:num w:numId="15" w16cid:durableId="1692687525">
    <w:abstractNumId w:val="13"/>
  </w:num>
  <w:num w:numId="16" w16cid:durableId="668866611">
    <w:abstractNumId w:val="25"/>
  </w:num>
  <w:num w:numId="17" w16cid:durableId="1436557826">
    <w:abstractNumId w:val="19"/>
  </w:num>
  <w:num w:numId="18" w16cid:durableId="1975913028">
    <w:abstractNumId w:val="15"/>
  </w:num>
  <w:num w:numId="19" w16cid:durableId="1074548519">
    <w:abstractNumId w:val="8"/>
  </w:num>
  <w:num w:numId="20" w16cid:durableId="1345665279">
    <w:abstractNumId w:val="29"/>
  </w:num>
  <w:num w:numId="21" w16cid:durableId="846559845">
    <w:abstractNumId w:val="2"/>
  </w:num>
  <w:num w:numId="22" w16cid:durableId="503712062">
    <w:abstractNumId w:val="3"/>
  </w:num>
  <w:num w:numId="23" w16cid:durableId="77672825">
    <w:abstractNumId w:val="22"/>
  </w:num>
  <w:num w:numId="24" w16cid:durableId="2144542421">
    <w:abstractNumId w:val="6"/>
  </w:num>
  <w:num w:numId="25" w16cid:durableId="301472565">
    <w:abstractNumId w:val="31"/>
  </w:num>
  <w:num w:numId="26" w16cid:durableId="1303803244">
    <w:abstractNumId w:val="16"/>
  </w:num>
  <w:num w:numId="27" w16cid:durableId="678774705">
    <w:abstractNumId w:val="11"/>
  </w:num>
  <w:num w:numId="28" w16cid:durableId="1394738615">
    <w:abstractNumId w:val="30"/>
  </w:num>
  <w:num w:numId="29" w16cid:durableId="2106221859">
    <w:abstractNumId w:val="17"/>
  </w:num>
  <w:num w:numId="30" w16cid:durableId="202796218">
    <w:abstractNumId w:val="23"/>
  </w:num>
  <w:num w:numId="31" w16cid:durableId="637537630">
    <w:abstractNumId w:val="12"/>
  </w:num>
  <w:num w:numId="32" w16cid:durableId="303315967">
    <w:abstractNumId w:val="4"/>
  </w:num>
  <w:num w:numId="33" w16cid:durableId="458644159">
    <w:abstractNumId w:val="27"/>
  </w:num>
  <w:num w:numId="34" w16cid:durableId="91903661">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w:hdrShapeDefaults>
  <w:footnotePr>
    <w:numFmt w:val="chicago"/>
    <w:numRestart w:val="eachSect"/>
    <w:footnote w:id="-1"/>
    <w:footnote w:id="0"/>
  </w:footnotePr>
  <w:endnotePr>
    <w:pos w:val="sectEnd"/>
    <w:numRestart w:val="eachSect"/>
    <w:endnote w:id="-1"/>
    <w:endnote w:id="0"/>
  </w:endnotePr>
  <w:compat>
    <w:compatSetting w:name="compatibilityMode" w:uri="http://schemas.microsoft.com/office/word" w:val="12"/>
    <w:compatSetting w:name="useWord2013TrackBottomHyphenation" w:uri="http://schemas.microsoft.com/office/word" w:val="1"/>
  </w:compat>
  <w:rsids>
    <w:rsidRoot w:val="00464CA2"/>
    <w:rsid w:val="00002058"/>
    <w:rsid w:val="00006A96"/>
    <w:rsid w:val="00006C91"/>
    <w:rsid w:val="00011C88"/>
    <w:rsid w:val="0001535C"/>
    <w:rsid w:val="00015523"/>
    <w:rsid w:val="00016699"/>
    <w:rsid w:val="00021DBC"/>
    <w:rsid w:val="0002469F"/>
    <w:rsid w:val="000256B9"/>
    <w:rsid w:val="000272AD"/>
    <w:rsid w:val="000278FC"/>
    <w:rsid w:val="0003065D"/>
    <w:rsid w:val="00037A7C"/>
    <w:rsid w:val="0004086E"/>
    <w:rsid w:val="000441B6"/>
    <w:rsid w:val="00044902"/>
    <w:rsid w:val="00045F48"/>
    <w:rsid w:val="000467D9"/>
    <w:rsid w:val="00047198"/>
    <w:rsid w:val="0005051E"/>
    <w:rsid w:val="00082C0E"/>
    <w:rsid w:val="00083789"/>
    <w:rsid w:val="0008473D"/>
    <w:rsid w:val="00092C0D"/>
    <w:rsid w:val="000A119A"/>
    <w:rsid w:val="000A6B33"/>
    <w:rsid w:val="000B3DDC"/>
    <w:rsid w:val="000B7304"/>
    <w:rsid w:val="000C5DDB"/>
    <w:rsid w:val="000D035F"/>
    <w:rsid w:val="000D115D"/>
    <w:rsid w:val="000E4D95"/>
    <w:rsid w:val="000E7B24"/>
    <w:rsid w:val="000F1160"/>
    <w:rsid w:val="000F1A45"/>
    <w:rsid w:val="00100A29"/>
    <w:rsid w:val="00101B56"/>
    <w:rsid w:val="0010698A"/>
    <w:rsid w:val="001070F4"/>
    <w:rsid w:val="00107236"/>
    <w:rsid w:val="00111F70"/>
    <w:rsid w:val="00112FEF"/>
    <w:rsid w:val="0012069D"/>
    <w:rsid w:val="00122EE1"/>
    <w:rsid w:val="00142B3B"/>
    <w:rsid w:val="00143DD7"/>
    <w:rsid w:val="00145503"/>
    <w:rsid w:val="0014552E"/>
    <w:rsid w:val="001479A1"/>
    <w:rsid w:val="0015577C"/>
    <w:rsid w:val="00160AF0"/>
    <w:rsid w:val="00161884"/>
    <w:rsid w:val="001715E8"/>
    <w:rsid w:val="001718AB"/>
    <w:rsid w:val="0018381C"/>
    <w:rsid w:val="00187837"/>
    <w:rsid w:val="00191ABF"/>
    <w:rsid w:val="00195A98"/>
    <w:rsid w:val="001A0A16"/>
    <w:rsid w:val="001A179A"/>
    <w:rsid w:val="001A46E1"/>
    <w:rsid w:val="001B7476"/>
    <w:rsid w:val="001C036E"/>
    <w:rsid w:val="001C4758"/>
    <w:rsid w:val="001C480D"/>
    <w:rsid w:val="001E036A"/>
    <w:rsid w:val="001E0585"/>
    <w:rsid w:val="001F11D6"/>
    <w:rsid w:val="001F1DF5"/>
    <w:rsid w:val="001F6221"/>
    <w:rsid w:val="001F63DE"/>
    <w:rsid w:val="00200165"/>
    <w:rsid w:val="00202485"/>
    <w:rsid w:val="00202ECE"/>
    <w:rsid w:val="00211600"/>
    <w:rsid w:val="00217F85"/>
    <w:rsid w:val="00220137"/>
    <w:rsid w:val="002223A0"/>
    <w:rsid w:val="00223B62"/>
    <w:rsid w:val="00226D07"/>
    <w:rsid w:val="002279DD"/>
    <w:rsid w:val="00242DC7"/>
    <w:rsid w:val="00243E7B"/>
    <w:rsid w:val="00262B2F"/>
    <w:rsid w:val="00272858"/>
    <w:rsid w:val="0027620E"/>
    <w:rsid w:val="00282097"/>
    <w:rsid w:val="00291C2D"/>
    <w:rsid w:val="002939E7"/>
    <w:rsid w:val="002A0A11"/>
    <w:rsid w:val="002A1494"/>
    <w:rsid w:val="002A4214"/>
    <w:rsid w:val="002B4F85"/>
    <w:rsid w:val="002C0E3D"/>
    <w:rsid w:val="002C2CCE"/>
    <w:rsid w:val="002C3FB9"/>
    <w:rsid w:val="002C52B0"/>
    <w:rsid w:val="002C5F6F"/>
    <w:rsid w:val="002E0535"/>
    <w:rsid w:val="002E1A3A"/>
    <w:rsid w:val="002E3B8E"/>
    <w:rsid w:val="002E7F71"/>
    <w:rsid w:val="002F1A7C"/>
    <w:rsid w:val="002F3D9C"/>
    <w:rsid w:val="002F7C7A"/>
    <w:rsid w:val="00300C04"/>
    <w:rsid w:val="00304929"/>
    <w:rsid w:val="00307066"/>
    <w:rsid w:val="0031516B"/>
    <w:rsid w:val="00317889"/>
    <w:rsid w:val="00332234"/>
    <w:rsid w:val="003355E9"/>
    <w:rsid w:val="003465CE"/>
    <w:rsid w:val="003505F0"/>
    <w:rsid w:val="003509A4"/>
    <w:rsid w:val="00352B5A"/>
    <w:rsid w:val="00355E93"/>
    <w:rsid w:val="0035646F"/>
    <w:rsid w:val="003626F8"/>
    <w:rsid w:val="003757FB"/>
    <w:rsid w:val="00375EDC"/>
    <w:rsid w:val="003800C1"/>
    <w:rsid w:val="0038074B"/>
    <w:rsid w:val="00381392"/>
    <w:rsid w:val="00381E17"/>
    <w:rsid w:val="00385844"/>
    <w:rsid w:val="003938FD"/>
    <w:rsid w:val="003B096F"/>
    <w:rsid w:val="003B09EE"/>
    <w:rsid w:val="003B31B8"/>
    <w:rsid w:val="003B38F4"/>
    <w:rsid w:val="003B76D5"/>
    <w:rsid w:val="003C0B15"/>
    <w:rsid w:val="003C1149"/>
    <w:rsid w:val="003C165C"/>
    <w:rsid w:val="003C3B37"/>
    <w:rsid w:val="003E4B9A"/>
    <w:rsid w:val="003F223F"/>
    <w:rsid w:val="003F467C"/>
    <w:rsid w:val="003F69CB"/>
    <w:rsid w:val="00404911"/>
    <w:rsid w:val="00411ACC"/>
    <w:rsid w:val="004151DD"/>
    <w:rsid w:val="004247F6"/>
    <w:rsid w:val="0042790A"/>
    <w:rsid w:val="0043088D"/>
    <w:rsid w:val="004315E0"/>
    <w:rsid w:val="004403F4"/>
    <w:rsid w:val="00441BE2"/>
    <w:rsid w:val="00442AF4"/>
    <w:rsid w:val="00443979"/>
    <w:rsid w:val="00444C95"/>
    <w:rsid w:val="0044549E"/>
    <w:rsid w:val="004500F1"/>
    <w:rsid w:val="004558A8"/>
    <w:rsid w:val="00463AFA"/>
    <w:rsid w:val="00464CA2"/>
    <w:rsid w:val="004659E0"/>
    <w:rsid w:val="00467257"/>
    <w:rsid w:val="004713EA"/>
    <w:rsid w:val="0047358B"/>
    <w:rsid w:val="0048150E"/>
    <w:rsid w:val="0048280B"/>
    <w:rsid w:val="0048522C"/>
    <w:rsid w:val="00487356"/>
    <w:rsid w:val="004873B2"/>
    <w:rsid w:val="004931EC"/>
    <w:rsid w:val="004958ED"/>
    <w:rsid w:val="004A3776"/>
    <w:rsid w:val="004C290D"/>
    <w:rsid w:val="004C3210"/>
    <w:rsid w:val="004D3456"/>
    <w:rsid w:val="004D6A0C"/>
    <w:rsid w:val="004E0154"/>
    <w:rsid w:val="004E4EF6"/>
    <w:rsid w:val="004E6692"/>
    <w:rsid w:val="004F442E"/>
    <w:rsid w:val="00501FFB"/>
    <w:rsid w:val="005141C4"/>
    <w:rsid w:val="005164B9"/>
    <w:rsid w:val="005176B5"/>
    <w:rsid w:val="00536419"/>
    <w:rsid w:val="00536DB7"/>
    <w:rsid w:val="00542C52"/>
    <w:rsid w:val="00551B86"/>
    <w:rsid w:val="00552FBB"/>
    <w:rsid w:val="00561A43"/>
    <w:rsid w:val="0056345A"/>
    <w:rsid w:val="00564413"/>
    <w:rsid w:val="00580058"/>
    <w:rsid w:val="00580505"/>
    <w:rsid w:val="00580F6F"/>
    <w:rsid w:val="005821DF"/>
    <w:rsid w:val="0058434B"/>
    <w:rsid w:val="005845CB"/>
    <w:rsid w:val="00590926"/>
    <w:rsid w:val="005A02FA"/>
    <w:rsid w:val="005A0695"/>
    <w:rsid w:val="005A21E8"/>
    <w:rsid w:val="005A2F4B"/>
    <w:rsid w:val="005A5301"/>
    <w:rsid w:val="005B3380"/>
    <w:rsid w:val="005C0324"/>
    <w:rsid w:val="005C333B"/>
    <w:rsid w:val="005D4DBC"/>
    <w:rsid w:val="005D542E"/>
    <w:rsid w:val="005E450E"/>
    <w:rsid w:val="005F52EA"/>
    <w:rsid w:val="005F5ADF"/>
    <w:rsid w:val="00604001"/>
    <w:rsid w:val="00604BF7"/>
    <w:rsid w:val="006055A2"/>
    <w:rsid w:val="00605C49"/>
    <w:rsid w:val="006062D3"/>
    <w:rsid w:val="006077D6"/>
    <w:rsid w:val="00612EEB"/>
    <w:rsid w:val="00614453"/>
    <w:rsid w:val="00615245"/>
    <w:rsid w:val="006233FE"/>
    <w:rsid w:val="006235F0"/>
    <w:rsid w:val="006253C3"/>
    <w:rsid w:val="006267E4"/>
    <w:rsid w:val="0063520D"/>
    <w:rsid w:val="00643B82"/>
    <w:rsid w:val="00645477"/>
    <w:rsid w:val="00650B04"/>
    <w:rsid w:val="00651969"/>
    <w:rsid w:val="0065322D"/>
    <w:rsid w:val="006551EB"/>
    <w:rsid w:val="00663370"/>
    <w:rsid w:val="00677765"/>
    <w:rsid w:val="00680172"/>
    <w:rsid w:val="006818EA"/>
    <w:rsid w:val="00683D32"/>
    <w:rsid w:val="006926FF"/>
    <w:rsid w:val="00693473"/>
    <w:rsid w:val="006A25D2"/>
    <w:rsid w:val="006A4BB1"/>
    <w:rsid w:val="006A5818"/>
    <w:rsid w:val="006A60BE"/>
    <w:rsid w:val="006B0651"/>
    <w:rsid w:val="006B1BBD"/>
    <w:rsid w:val="006B29B2"/>
    <w:rsid w:val="006B3E02"/>
    <w:rsid w:val="006C06CD"/>
    <w:rsid w:val="006C6418"/>
    <w:rsid w:val="006D2D01"/>
    <w:rsid w:val="006D30C1"/>
    <w:rsid w:val="006D4C3B"/>
    <w:rsid w:val="006D5A12"/>
    <w:rsid w:val="006E2EE5"/>
    <w:rsid w:val="006F7D36"/>
    <w:rsid w:val="007038DB"/>
    <w:rsid w:val="00707AF7"/>
    <w:rsid w:val="00710CD4"/>
    <w:rsid w:val="00721DAB"/>
    <w:rsid w:val="00723E42"/>
    <w:rsid w:val="007252E6"/>
    <w:rsid w:val="00727228"/>
    <w:rsid w:val="007275B6"/>
    <w:rsid w:val="00732913"/>
    <w:rsid w:val="00736353"/>
    <w:rsid w:val="00736C05"/>
    <w:rsid w:val="00743B83"/>
    <w:rsid w:val="00750F19"/>
    <w:rsid w:val="00753371"/>
    <w:rsid w:val="00760F0A"/>
    <w:rsid w:val="00765D6C"/>
    <w:rsid w:val="00772282"/>
    <w:rsid w:val="00775097"/>
    <w:rsid w:val="007850D2"/>
    <w:rsid w:val="00786E56"/>
    <w:rsid w:val="0079299B"/>
    <w:rsid w:val="0079694A"/>
    <w:rsid w:val="007A0D4A"/>
    <w:rsid w:val="007A4772"/>
    <w:rsid w:val="007C49E5"/>
    <w:rsid w:val="007D003E"/>
    <w:rsid w:val="007E1B87"/>
    <w:rsid w:val="007E7018"/>
    <w:rsid w:val="007F083E"/>
    <w:rsid w:val="007F1DBF"/>
    <w:rsid w:val="007F4F50"/>
    <w:rsid w:val="00800826"/>
    <w:rsid w:val="00801717"/>
    <w:rsid w:val="00804CDD"/>
    <w:rsid w:val="00811802"/>
    <w:rsid w:val="008175C1"/>
    <w:rsid w:val="00821E83"/>
    <w:rsid w:val="0082473A"/>
    <w:rsid w:val="00825C1C"/>
    <w:rsid w:val="00835488"/>
    <w:rsid w:val="00836DC4"/>
    <w:rsid w:val="00837432"/>
    <w:rsid w:val="00850834"/>
    <w:rsid w:val="008546EF"/>
    <w:rsid w:val="00854B37"/>
    <w:rsid w:val="00855D46"/>
    <w:rsid w:val="00857C02"/>
    <w:rsid w:val="00863F23"/>
    <w:rsid w:val="008717F0"/>
    <w:rsid w:val="00871B6F"/>
    <w:rsid w:val="00874FC0"/>
    <w:rsid w:val="00876CDC"/>
    <w:rsid w:val="00881A32"/>
    <w:rsid w:val="00884700"/>
    <w:rsid w:val="00897C2C"/>
    <w:rsid w:val="008A07B5"/>
    <w:rsid w:val="008A517A"/>
    <w:rsid w:val="008B0849"/>
    <w:rsid w:val="008B5014"/>
    <w:rsid w:val="008B5C9C"/>
    <w:rsid w:val="008C7EAB"/>
    <w:rsid w:val="008E016B"/>
    <w:rsid w:val="008E262E"/>
    <w:rsid w:val="008E3599"/>
    <w:rsid w:val="008E3CF0"/>
    <w:rsid w:val="008E45EA"/>
    <w:rsid w:val="008E571D"/>
    <w:rsid w:val="008F0D7D"/>
    <w:rsid w:val="009016F8"/>
    <w:rsid w:val="0090489C"/>
    <w:rsid w:val="00906281"/>
    <w:rsid w:val="009065FD"/>
    <w:rsid w:val="009139E8"/>
    <w:rsid w:val="00920F20"/>
    <w:rsid w:val="00921373"/>
    <w:rsid w:val="00930385"/>
    <w:rsid w:val="009313BA"/>
    <w:rsid w:val="0093751D"/>
    <w:rsid w:val="00937B72"/>
    <w:rsid w:val="0095306E"/>
    <w:rsid w:val="00953C15"/>
    <w:rsid w:val="0096247F"/>
    <w:rsid w:val="009627C7"/>
    <w:rsid w:val="00965C59"/>
    <w:rsid w:val="00983CD8"/>
    <w:rsid w:val="009876E6"/>
    <w:rsid w:val="009943C4"/>
    <w:rsid w:val="009979DB"/>
    <w:rsid w:val="00997E9A"/>
    <w:rsid w:val="009B0EC7"/>
    <w:rsid w:val="009B6852"/>
    <w:rsid w:val="009C0A52"/>
    <w:rsid w:val="009C1058"/>
    <w:rsid w:val="009E533E"/>
    <w:rsid w:val="009E57D2"/>
    <w:rsid w:val="009E61CB"/>
    <w:rsid w:val="009E6FA9"/>
    <w:rsid w:val="009F0EAE"/>
    <w:rsid w:val="009F32FD"/>
    <w:rsid w:val="009F56FF"/>
    <w:rsid w:val="00A04361"/>
    <w:rsid w:val="00A05A46"/>
    <w:rsid w:val="00A06FB8"/>
    <w:rsid w:val="00A15651"/>
    <w:rsid w:val="00A220FE"/>
    <w:rsid w:val="00A23E9E"/>
    <w:rsid w:val="00A271C8"/>
    <w:rsid w:val="00A301D1"/>
    <w:rsid w:val="00A31758"/>
    <w:rsid w:val="00A32631"/>
    <w:rsid w:val="00A344C1"/>
    <w:rsid w:val="00A36818"/>
    <w:rsid w:val="00A36D67"/>
    <w:rsid w:val="00A55078"/>
    <w:rsid w:val="00A5699B"/>
    <w:rsid w:val="00A72466"/>
    <w:rsid w:val="00A744B8"/>
    <w:rsid w:val="00A77DFE"/>
    <w:rsid w:val="00A824AF"/>
    <w:rsid w:val="00A8332B"/>
    <w:rsid w:val="00A85FA3"/>
    <w:rsid w:val="00A94EB0"/>
    <w:rsid w:val="00AA3C1C"/>
    <w:rsid w:val="00AA44CB"/>
    <w:rsid w:val="00AA6F26"/>
    <w:rsid w:val="00AB12A0"/>
    <w:rsid w:val="00AB2DCD"/>
    <w:rsid w:val="00AC143F"/>
    <w:rsid w:val="00AC34BF"/>
    <w:rsid w:val="00AE1EAC"/>
    <w:rsid w:val="00B04E85"/>
    <w:rsid w:val="00B052D9"/>
    <w:rsid w:val="00B122DC"/>
    <w:rsid w:val="00B2290E"/>
    <w:rsid w:val="00B25F34"/>
    <w:rsid w:val="00B34439"/>
    <w:rsid w:val="00B34854"/>
    <w:rsid w:val="00B37547"/>
    <w:rsid w:val="00B42C16"/>
    <w:rsid w:val="00B4537B"/>
    <w:rsid w:val="00B46091"/>
    <w:rsid w:val="00B57588"/>
    <w:rsid w:val="00B60541"/>
    <w:rsid w:val="00B6251B"/>
    <w:rsid w:val="00B74269"/>
    <w:rsid w:val="00B74D18"/>
    <w:rsid w:val="00B75AF3"/>
    <w:rsid w:val="00B76788"/>
    <w:rsid w:val="00B77CD0"/>
    <w:rsid w:val="00B81EC0"/>
    <w:rsid w:val="00B862B9"/>
    <w:rsid w:val="00B908F6"/>
    <w:rsid w:val="00B9473B"/>
    <w:rsid w:val="00B94CC5"/>
    <w:rsid w:val="00BA5C06"/>
    <w:rsid w:val="00BB0155"/>
    <w:rsid w:val="00BB1178"/>
    <w:rsid w:val="00BB123E"/>
    <w:rsid w:val="00BB5EF3"/>
    <w:rsid w:val="00BC0F2A"/>
    <w:rsid w:val="00BC1DDE"/>
    <w:rsid w:val="00BC6E8F"/>
    <w:rsid w:val="00BD4501"/>
    <w:rsid w:val="00BD7466"/>
    <w:rsid w:val="00BE0D2A"/>
    <w:rsid w:val="00BE10E6"/>
    <w:rsid w:val="00BE3DBC"/>
    <w:rsid w:val="00BF5A3E"/>
    <w:rsid w:val="00C00BCE"/>
    <w:rsid w:val="00C03ECC"/>
    <w:rsid w:val="00C04B12"/>
    <w:rsid w:val="00C06CA4"/>
    <w:rsid w:val="00C10FFB"/>
    <w:rsid w:val="00C11BCD"/>
    <w:rsid w:val="00C17579"/>
    <w:rsid w:val="00C22443"/>
    <w:rsid w:val="00C22DDD"/>
    <w:rsid w:val="00C27125"/>
    <w:rsid w:val="00C30274"/>
    <w:rsid w:val="00C302D3"/>
    <w:rsid w:val="00C3567E"/>
    <w:rsid w:val="00C363DE"/>
    <w:rsid w:val="00C37252"/>
    <w:rsid w:val="00C4446C"/>
    <w:rsid w:val="00C51C96"/>
    <w:rsid w:val="00C60881"/>
    <w:rsid w:val="00C645E3"/>
    <w:rsid w:val="00C66695"/>
    <w:rsid w:val="00C67DC7"/>
    <w:rsid w:val="00C77888"/>
    <w:rsid w:val="00C77F81"/>
    <w:rsid w:val="00C82EF0"/>
    <w:rsid w:val="00C83EAE"/>
    <w:rsid w:val="00C8641A"/>
    <w:rsid w:val="00C876DB"/>
    <w:rsid w:val="00C91027"/>
    <w:rsid w:val="00C945A8"/>
    <w:rsid w:val="00C9558A"/>
    <w:rsid w:val="00CB4536"/>
    <w:rsid w:val="00CB7EF7"/>
    <w:rsid w:val="00CC2515"/>
    <w:rsid w:val="00CC2E72"/>
    <w:rsid w:val="00CC7BE2"/>
    <w:rsid w:val="00CD4CED"/>
    <w:rsid w:val="00CD63CC"/>
    <w:rsid w:val="00CD6E43"/>
    <w:rsid w:val="00CE1E5E"/>
    <w:rsid w:val="00CE1FE2"/>
    <w:rsid w:val="00CE481D"/>
    <w:rsid w:val="00D00398"/>
    <w:rsid w:val="00D05A8A"/>
    <w:rsid w:val="00D077A7"/>
    <w:rsid w:val="00D10868"/>
    <w:rsid w:val="00D1606C"/>
    <w:rsid w:val="00D20473"/>
    <w:rsid w:val="00D32301"/>
    <w:rsid w:val="00D33381"/>
    <w:rsid w:val="00D3595F"/>
    <w:rsid w:val="00D37AD6"/>
    <w:rsid w:val="00D425B9"/>
    <w:rsid w:val="00D60263"/>
    <w:rsid w:val="00D63D6D"/>
    <w:rsid w:val="00D70C55"/>
    <w:rsid w:val="00D76CF3"/>
    <w:rsid w:val="00D76F15"/>
    <w:rsid w:val="00D80E74"/>
    <w:rsid w:val="00DA5843"/>
    <w:rsid w:val="00DB68BE"/>
    <w:rsid w:val="00DC0DAA"/>
    <w:rsid w:val="00DC2C13"/>
    <w:rsid w:val="00DC3F25"/>
    <w:rsid w:val="00DD2E88"/>
    <w:rsid w:val="00DD2F7F"/>
    <w:rsid w:val="00DD30CF"/>
    <w:rsid w:val="00DD5893"/>
    <w:rsid w:val="00DD59E8"/>
    <w:rsid w:val="00DD7CD3"/>
    <w:rsid w:val="00DF0D0B"/>
    <w:rsid w:val="00DF52ED"/>
    <w:rsid w:val="00E01F9B"/>
    <w:rsid w:val="00E03DE5"/>
    <w:rsid w:val="00E07A0D"/>
    <w:rsid w:val="00E10BF7"/>
    <w:rsid w:val="00E14273"/>
    <w:rsid w:val="00E16F40"/>
    <w:rsid w:val="00E17208"/>
    <w:rsid w:val="00E24FAB"/>
    <w:rsid w:val="00E25D01"/>
    <w:rsid w:val="00E26768"/>
    <w:rsid w:val="00E26A69"/>
    <w:rsid w:val="00E31529"/>
    <w:rsid w:val="00E3351B"/>
    <w:rsid w:val="00E34512"/>
    <w:rsid w:val="00E40FC2"/>
    <w:rsid w:val="00E46A77"/>
    <w:rsid w:val="00E50212"/>
    <w:rsid w:val="00E50B17"/>
    <w:rsid w:val="00E56C0A"/>
    <w:rsid w:val="00E61385"/>
    <w:rsid w:val="00E615E0"/>
    <w:rsid w:val="00E629F7"/>
    <w:rsid w:val="00E62D7A"/>
    <w:rsid w:val="00E646FB"/>
    <w:rsid w:val="00E70486"/>
    <w:rsid w:val="00E74F1E"/>
    <w:rsid w:val="00E9001E"/>
    <w:rsid w:val="00EA1994"/>
    <w:rsid w:val="00EB5741"/>
    <w:rsid w:val="00EB715C"/>
    <w:rsid w:val="00EC5656"/>
    <w:rsid w:val="00EC5C7D"/>
    <w:rsid w:val="00ED259B"/>
    <w:rsid w:val="00EE4D96"/>
    <w:rsid w:val="00EF1864"/>
    <w:rsid w:val="00EF1D7B"/>
    <w:rsid w:val="00EF6C4E"/>
    <w:rsid w:val="00F27353"/>
    <w:rsid w:val="00F34F9D"/>
    <w:rsid w:val="00F40763"/>
    <w:rsid w:val="00F423E2"/>
    <w:rsid w:val="00F50687"/>
    <w:rsid w:val="00F50759"/>
    <w:rsid w:val="00F55940"/>
    <w:rsid w:val="00F55A0E"/>
    <w:rsid w:val="00F62C75"/>
    <w:rsid w:val="00F7113A"/>
    <w:rsid w:val="00F71C8D"/>
    <w:rsid w:val="00F721BD"/>
    <w:rsid w:val="00F7227A"/>
    <w:rsid w:val="00F73AE8"/>
    <w:rsid w:val="00F8703F"/>
    <w:rsid w:val="00F93AA3"/>
    <w:rsid w:val="00F970F9"/>
    <w:rsid w:val="00FA3363"/>
    <w:rsid w:val="00FA4EA6"/>
    <w:rsid w:val="00FA5319"/>
    <w:rsid w:val="00FA7B11"/>
    <w:rsid w:val="00FB4185"/>
    <w:rsid w:val="00FC3FB2"/>
    <w:rsid w:val="00FC4548"/>
    <w:rsid w:val="00FD0E12"/>
    <w:rsid w:val="00FD1957"/>
    <w:rsid w:val="00FD1B05"/>
    <w:rsid w:val="00FD1BCB"/>
    <w:rsid w:val="00FD3F99"/>
    <w:rsid w:val="00FD5D22"/>
    <w:rsid w:val="00FE0242"/>
    <w:rsid w:val="00FE0AFF"/>
    <w:rsid w:val="00FE0D6A"/>
    <w:rsid w:val="00FE2861"/>
    <w:rsid w:val="00FE3201"/>
    <w:rsid w:val="00FE4B8D"/>
    <w:rsid w:val="00FE5DA0"/>
    <w:rsid w:val="00FF04B8"/>
    <w:rsid w:val="00FF4A3F"/>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68CE8A"/>
  <w15:docId w15:val="{3328531F-2B76-4928-A3FD-78FBED5C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qFormat="1"/>
    <w:lsdException w:name="No Spacing" w:uiPriority="1"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503"/>
    <w:rPr>
      <w:sz w:val="24"/>
      <w:szCs w:val="24"/>
    </w:rPr>
  </w:style>
  <w:style w:type="paragraph" w:styleId="Heading1">
    <w:name w:val="heading 1"/>
    <w:basedOn w:val="Normal"/>
    <w:next w:val="Normal"/>
    <w:link w:val="Heading1Char"/>
    <w:uiPriority w:val="9"/>
    <w:qFormat/>
    <w:rsid w:val="00145503"/>
    <w:pPr>
      <w:keepNext/>
      <w:outlineLvl w:val="0"/>
    </w:pPr>
    <w:rPr>
      <w:b/>
      <w:bCs/>
    </w:rPr>
  </w:style>
  <w:style w:type="paragraph" w:styleId="Heading2">
    <w:name w:val="heading 2"/>
    <w:basedOn w:val="Normal"/>
    <w:next w:val="Normal"/>
    <w:link w:val="Heading2Char"/>
    <w:uiPriority w:val="99"/>
    <w:qFormat/>
    <w:rsid w:val="001455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14550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145503"/>
    <w:pPr>
      <w:keepNext/>
      <w:spacing w:before="100" w:after="100" w:line="360" w:lineRule="auto"/>
      <w:jc w:val="right"/>
      <w:outlineLvl w:val="3"/>
    </w:pPr>
    <w:rPr>
      <w:rFonts w:ascii="Century Schoolbook" w:hAnsi="Century Schoolbook"/>
      <w:b/>
      <w:bCs/>
      <w:i/>
      <w:iCs/>
      <w:sz w:val="28"/>
    </w:rPr>
  </w:style>
  <w:style w:type="paragraph" w:styleId="Heading5">
    <w:name w:val="heading 5"/>
    <w:basedOn w:val="Normal"/>
    <w:next w:val="Normal"/>
    <w:link w:val="Heading5Char"/>
    <w:uiPriority w:val="99"/>
    <w:qFormat/>
    <w:rsid w:val="00145503"/>
    <w:pPr>
      <w:keepNext/>
      <w:jc w:val="both"/>
      <w:outlineLvl w:val="4"/>
    </w:pPr>
    <w:rPr>
      <w:b/>
      <w:sz w:val="22"/>
    </w:rPr>
  </w:style>
  <w:style w:type="paragraph" w:styleId="Heading6">
    <w:name w:val="heading 6"/>
    <w:basedOn w:val="Normal"/>
    <w:next w:val="Normal"/>
    <w:link w:val="Heading6Char"/>
    <w:uiPriority w:val="99"/>
    <w:qFormat/>
    <w:rsid w:val="00145503"/>
    <w:pPr>
      <w:keepNext/>
      <w:tabs>
        <w:tab w:val="left" w:pos="6210"/>
      </w:tabs>
      <w:ind w:left="360"/>
      <w:jc w:val="both"/>
      <w:outlineLvl w:val="5"/>
    </w:pPr>
    <w:rPr>
      <w:b/>
    </w:rPr>
  </w:style>
  <w:style w:type="paragraph" w:styleId="Heading7">
    <w:name w:val="heading 7"/>
    <w:basedOn w:val="Normal"/>
    <w:next w:val="Normal"/>
    <w:link w:val="Heading7Char"/>
    <w:qFormat/>
    <w:rsid w:val="00145503"/>
    <w:pPr>
      <w:keepNext/>
      <w:outlineLvl w:val="6"/>
    </w:pPr>
    <w:rPr>
      <w:b/>
      <w:sz w:val="22"/>
    </w:rPr>
  </w:style>
  <w:style w:type="paragraph" w:styleId="Heading8">
    <w:name w:val="heading 8"/>
    <w:basedOn w:val="Normal"/>
    <w:next w:val="Normal"/>
    <w:link w:val="Heading8Char"/>
    <w:qFormat/>
    <w:rsid w:val="00145503"/>
    <w:pPr>
      <w:keepNext/>
      <w:spacing w:line="360" w:lineRule="auto"/>
      <w:jc w:val="center"/>
      <w:outlineLvl w:val="7"/>
    </w:pPr>
    <w:rPr>
      <w:i/>
      <w:iCs/>
      <w:sz w:val="28"/>
    </w:rPr>
  </w:style>
  <w:style w:type="paragraph" w:styleId="Heading9">
    <w:name w:val="heading 9"/>
    <w:basedOn w:val="Normal"/>
    <w:next w:val="Normal"/>
    <w:link w:val="Heading9Char"/>
    <w:qFormat/>
    <w:rsid w:val="00145503"/>
    <w:pPr>
      <w:keepNext/>
      <w:pBdr>
        <w:top w:val="single" w:sz="4" w:space="1" w:color="auto"/>
        <w:bottom w:val="single" w:sz="4" w:space="1" w:color="auto"/>
      </w:pBdr>
      <w:ind w:left="540" w:right="562"/>
      <w:jc w:val="both"/>
      <w:outlineLvl w:val="8"/>
    </w:pPr>
    <w:rPr>
      <w:b/>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0489C"/>
    <w:rPr>
      <w:b/>
      <w:bCs/>
      <w:sz w:val="24"/>
      <w:szCs w:val="24"/>
    </w:rPr>
  </w:style>
  <w:style w:type="character" w:customStyle="1" w:styleId="Heading2Char">
    <w:name w:val="Heading 2 Char"/>
    <w:basedOn w:val="DefaultParagraphFont"/>
    <w:link w:val="Heading2"/>
    <w:uiPriority w:val="9"/>
    <w:qFormat/>
    <w:rsid w:val="00C30274"/>
    <w:rPr>
      <w:rFonts w:ascii="Arial" w:hAnsi="Arial" w:cs="Arial"/>
      <w:b/>
      <w:bCs/>
      <w:i/>
      <w:iCs/>
      <w:sz w:val="28"/>
      <w:szCs w:val="28"/>
    </w:rPr>
  </w:style>
  <w:style w:type="character" w:customStyle="1" w:styleId="Heading3Char">
    <w:name w:val="Heading 3 Char"/>
    <w:basedOn w:val="DefaultParagraphFont"/>
    <w:link w:val="Heading3"/>
    <w:uiPriority w:val="99"/>
    <w:rsid w:val="00B34854"/>
    <w:rPr>
      <w:rFonts w:ascii="Arial" w:hAnsi="Arial" w:cs="Arial"/>
      <w:b/>
      <w:bCs/>
      <w:sz w:val="26"/>
      <w:szCs w:val="26"/>
    </w:rPr>
  </w:style>
  <w:style w:type="character" w:customStyle="1" w:styleId="Heading4Char">
    <w:name w:val="Heading 4 Char"/>
    <w:basedOn w:val="DefaultParagraphFont"/>
    <w:link w:val="Heading4"/>
    <w:uiPriority w:val="99"/>
    <w:rsid w:val="00B34854"/>
    <w:rPr>
      <w:rFonts w:ascii="Century Schoolbook" w:hAnsi="Century Schoolbook"/>
      <w:b/>
      <w:bCs/>
      <w:i/>
      <w:iCs/>
      <w:sz w:val="28"/>
      <w:szCs w:val="24"/>
    </w:rPr>
  </w:style>
  <w:style w:type="character" w:customStyle="1" w:styleId="Heading5Char">
    <w:name w:val="Heading 5 Char"/>
    <w:basedOn w:val="DefaultParagraphFont"/>
    <w:link w:val="Heading5"/>
    <w:uiPriority w:val="99"/>
    <w:rsid w:val="00B34854"/>
    <w:rPr>
      <w:b/>
      <w:sz w:val="22"/>
      <w:szCs w:val="24"/>
    </w:rPr>
  </w:style>
  <w:style w:type="character" w:customStyle="1" w:styleId="Heading6Char">
    <w:name w:val="Heading 6 Char"/>
    <w:basedOn w:val="DefaultParagraphFont"/>
    <w:link w:val="Heading6"/>
    <w:uiPriority w:val="99"/>
    <w:rsid w:val="00B34854"/>
    <w:rPr>
      <w:b/>
      <w:sz w:val="24"/>
      <w:szCs w:val="24"/>
    </w:rPr>
  </w:style>
  <w:style w:type="paragraph" w:styleId="BodyTextIndent">
    <w:name w:val="Body Text Indent"/>
    <w:basedOn w:val="Normal"/>
    <w:link w:val="BodyTextIndentChar"/>
    <w:rsid w:val="00145503"/>
    <w:pPr>
      <w:ind w:left="720"/>
      <w:jc w:val="both"/>
    </w:pPr>
    <w:rPr>
      <w:sz w:val="18"/>
    </w:rPr>
  </w:style>
  <w:style w:type="paragraph" w:styleId="Title">
    <w:name w:val="Title"/>
    <w:basedOn w:val="Normal"/>
    <w:link w:val="TitleChar"/>
    <w:qFormat/>
    <w:rsid w:val="00145503"/>
    <w:pPr>
      <w:jc w:val="center"/>
    </w:pPr>
    <w:rPr>
      <w:b/>
      <w:bCs/>
      <w:caps/>
      <w:sz w:val="20"/>
    </w:rPr>
  </w:style>
  <w:style w:type="paragraph" w:styleId="Header">
    <w:name w:val="header"/>
    <w:basedOn w:val="Normal"/>
    <w:link w:val="HeaderChar"/>
    <w:uiPriority w:val="99"/>
    <w:qFormat/>
    <w:rsid w:val="00145503"/>
    <w:pPr>
      <w:tabs>
        <w:tab w:val="center" w:pos="4320"/>
        <w:tab w:val="right" w:pos="8640"/>
      </w:tabs>
    </w:pPr>
  </w:style>
  <w:style w:type="character" w:customStyle="1" w:styleId="HeaderChar">
    <w:name w:val="Header Char"/>
    <w:basedOn w:val="DefaultParagraphFont"/>
    <w:link w:val="Header"/>
    <w:uiPriority w:val="99"/>
    <w:qFormat/>
    <w:rsid w:val="007F4F50"/>
    <w:rPr>
      <w:sz w:val="24"/>
      <w:szCs w:val="24"/>
    </w:rPr>
  </w:style>
  <w:style w:type="paragraph" w:styleId="Footer">
    <w:name w:val="footer"/>
    <w:aliases w:val="Char"/>
    <w:basedOn w:val="Normal"/>
    <w:link w:val="FooterChar"/>
    <w:uiPriority w:val="99"/>
    <w:qFormat/>
    <w:rsid w:val="00145503"/>
    <w:pPr>
      <w:tabs>
        <w:tab w:val="center" w:pos="4320"/>
        <w:tab w:val="right" w:pos="8640"/>
      </w:tabs>
    </w:pPr>
  </w:style>
  <w:style w:type="character" w:customStyle="1" w:styleId="FooterChar">
    <w:name w:val="Footer Char"/>
    <w:aliases w:val="Char Char1"/>
    <w:basedOn w:val="DefaultParagraphFont"/>
    <w:link w:val="Footer"/>
    <w:uiPriority w:val="99"/>
    <w:qFormat/>
    <w:rsid w:val="007F4F50"/>
    <w:rPr>
      <w:sz w:val="24"/>
      <w:szCs w:val="24"/>
    </w:rPr>
  </w:style>
  <w:style w:type="character" w:styleId="PageNumber">
    <w:name w:val="page number"/>
    <w:basedOn w:val="DefaultParagraphFont"/>
    <w:rsid w:val="00145503"/>
  </w:style>
  <w:style w:type="paragraph" w:styleId="BodyText">
    <w:name w:val="Body Text"/>
    <w:aliases w:val="bt,Body text"/>
    <w:basedOn w:val="Normal"/>
    <w:link w:val="BodyTextChar"/>
    <w:uiPriority w:val="1"/>
    <w:qFormat/>
    <w:rsid w:val="00145503"/>
    <w:pPr>
      <w:spacing w:after="120"/>
    </w:pPr>
  </w:style>
  <w:style w:type="character" w:customStyle="1" w:styleId="BodyTextChar">
    <w:name w:val="Body Text Char"/>
    <w:aliases w:val="bt Char,Body text Char"/>
    <w:basedOn w:val="DefaultParagraphFont"/>
    <w:link w:val="BodyText"/>
    <w:uiPriority w:val="1"/>
    <w:qFormat/>
    <w:rsid w:val="0090489C"/>
    <w:rPr>
      <w:sz w:val="24"/>
      <w:szCs w:val="24"/>
    </w:rPr>
  </w:style>
  <w:style w:type="paragraph" w:styleId="BodyText2">
    <w:name w:val="Body Text 2"/>
    <w:basedOn w:val="Normal"/>
    <w:link w:val="BodyText2Char"/>
    <w:qFormat/>
    <w:rsid w:val="00145503"/>
    <w:pPr>
      <w:spacing w:after="120" w:line="480" w:lineRule="auto"/>
    </w:pPr>
  </w:style>
  <w:style w:type="paragraph" w:styleId="BodyText3">
    <w:name w:val="Body Text 3"/>
    <w:basedOn w:val="Normal"/>
    <w:link w:val="BodyText3Char"/>
    <w:rsid w:val="00145503"/>
    <w:pPr>
      <w:spacing w:after="120"/>
    </w:pPr>
    <w:rPr>
      <w:sz w:val="16"/>
      <w:szCs w:val="16"/>
    </w:rPr>
  </w:style>
  <w:style w:type="paragraph" w:styleId="BodyTextIndent2">
    <w:name w:val="Body Text Indent 2"/>
    <w:basedOn w:val="Normal"/>
    <w:link w:val="BodyTextIndent2Char"/>
    <w:rsid w:val="00145503"/>
    <w:pPr>
      <w:spacing w:after="120" w:line="480" w:lineRule="auto"/>
      <w:ind w:left="360"/>
    </w:pPr>
  </w:style>
  <w:style w:type="paragraph" w:styleId="BodyTextIndent3">
    <w:name w:val="Body Text Indent 3"/>
    <w:basedOn w:val="Normal"/>
    <w:link w:val="BodyTextIndent3Char"/>
    <w:rsid w:val="00145503"/>
    <w:pPr>
      <w:spacing w:before="60" w:after="60" w:line="360" w:lineRule="auto"/>
      <w:ind w:left="360" w:hanging="360"/>
      <w:jc w:val="both"/>
    </w:pPr>
    <w:rPr>
      <w:rFonts w:ascii="Century Schoolbook" w:hAnsi="Century Schoolbook"/>
    </w:rPr>
  </w:style>
  <w:style w:type="character" w:styleId="Hyperlink">
    <w:name w:val="Hyperlink"/>
    <w:basedOn w:val="DefaultParagraphFont"/>
    <w:uiPriority w:val="99"/>
    <w:qFormat/>
    <w:rsid w:val="00145503"/>
    <w:rPr>
      <w:color w:val="0000FF"/>
      <w:u w:val="single"/>
    </w:rPr>
  </w:style>
  <w:style w:type="paragraph" w:customStyle="1" w:styleId="a">
    <w:name w:val=".."/>
    <w:basedOn w:val="Default"/>
    <w:next w:val="Default"/>
    <w:rsid w:val="00145503"/>
    <w:rPr>
      <w:color w:val="auto"/>
    </w:rPr>
  </w:style>
  <w:style w:type="paragraph" w:customStyle="1" w:styleId="Default">
    <w:name w:val="Default"/>
    <w:qFormat/>
    <w:rsid w:val="00145503"/>
    <w:pPr>
      <w:autoSpaceDE w:val="0"/>
      <w:autoSpaceDN w:val="0"/>
      <w:adjustRightInd w:val="0"/>
    </w:pPr>
    <w:rPr>
      <w:rFonts w:eastAsia="SimSun"/>
      <w:color w:val="000000"/>
      <w:sz w:val="24"/>
      <w:szCs w:val="24"/>
      <w:lang w:eastAsia="zh-CN"/>
    </w:rPr>
  </w:style>
  <w:style w:type="character" w:styleId="FollowedHyperlink">
    <w:name w:val="FollowedHyperlink"/>
    <w:basedOn w:val="DefaultParagraphFont"/>
    <w:qFormat/>
    <w:rsid w:val="00145503"/>
    <w:rPr>
      <w:color w:val="800080"/>
      <w:u w:val="single"/>
    </w:rPr>
  </w:style>
  <w:style w:type="paragraph" w:styleId="BlockText">
    <w:name w:val="Block Text"/>
    <w:basedOn w:val="Normal"/>
    <w:rsid w:val="00145503"/>
    <w:pPr>
      <w:ind w:left="540" w:right="562"/>
      <w:jc w:val="both"/>
    </w:pPr>
    <w:rPr>
      <w:b/>
      <w:bCs/>
      <w:szCs w:val="28"/>
    </w:rPr>
  </w:style>
  <w:style w:type="paragraph" w:styleId="NormalWeb">
    <w:name w:val="Normal (Web)"/>
    <w:basedOn w:val="Normal"/>
    <w:uiPriority w:val="99"/>
    <w:qFormat/>
    <w:rsid w:val="00145503"/>
    <w:pPr>
      <w:spacing w:before="100" w:beforeAutospacing="1" w:after="100" w:afterAutospacing="1"/>
    </w:pPr>
  </w:style>
  <w:style w:type="character" w:customStyle="1" w:styleId="texhtml">
    <w:name w:val="texhtml"/>
    <w:basedOn w:val="DefaultParagraphFont"/>
    <w:rsid w:val="00145503"/>
  </w:style>
  <w:style w:type="paragraph" w:styleId="CommentText">
    <w:name w:val="annotation text"/>
    <w:basedOn w:val="Normal"/>
    <w:link w:val="CommentTextChar"/>
    <w:uiPriority w:val="99"/>
    <w:semiHidden/>
    <w:qFormat/>
    <w:rsid w:val="00145503"/>
    <w:rPr>
      <w:sz w:val="20"/>
      <w:szCs w:val="20"/>
    </w:rPr>
  </w:style>
  <w:style w:type="character" w:customStyle="1" w:styleId="CommentTextChar">
    <w:name w:val="Comment Text Char"/>
    <w:basedOn w:val="DefaultParagraphFont"/>
    <w:link w:val="CommentText"/>
    <w:uiPriority w:val="99"/>
    <w:semiHidden/>
    <w:qFormat/>
    <w:rsid w:val="00D1606C"/>
  </w:style>
  <w:style w:type="paragraph" w:styleId="Caption">
    <w:name w:val="caption"/>
    <w:basedOn w:val="Normal"/>
    <w:next w:val="Normal"/>
    <w:uiPriority w:val="35"/>
    <w:qFormat/>
    <w:rsid w:val="00145503"/>
    <w:pPr>
      <w:spacing w:line="360" w:lineRule="auto"/>
      <w:jc w:val="both"/>
    </w:pPr>
    <w:rPr>
      <w:b/>
      <w:bCs/>
      <w:szCs w:val="22"/>
    </w:rPr>
  </w:style>
  <w:style w:type="paragraph" w:styleId="PlainText">
    <w:name w:val="Plain Text"/>
    <w:basedOn w:val="Normal"/>
    <w:link w:val="PlainTextChar"/>
    <w:rsid w:val="00145503"/>
    <w:rPr>
      <w:rFonts w:ascii="Courier New" w:hAnsi="Courier New"/>
      <w:sz w:val="20"/>
      <w:szCs w:val="20"/>
    </w:rPr>
  </w:style>
  <w:style w:type="paragraph" w:customStyle="1" w:styleId="CM12">
    <w:name w:val="CM12"/>
    <w:basedOn w:val="Default"/>
    <w:next w:val="Default"/>
    <w:rsid w:val="00145503"/>
    <w:pPr>
      <w:widowControl w:val="0"/>
    </w:pPr>
    <w:rPr>
      <w:rFonts w:ascii="ZapfHumnst BT" w:eastAsia="Times New Roman" w:hAnsi="ZapfHumnst BT"/>
      <w:color w:val="auto"/>
      <w:lang w:eastAsia="en-US"/>
    </w:rPr>
  </w:style>
  <w:style w:type="paragraph" w:customStyle="1" w:styleId="Normaljustify">
    <w:name w:val="Normal + justify"/>
    <w:basedOn w:val="Normal"/>
    <w:rsid w:val="00145503"/>
    <w:rPr>
      <w:rFonts w:eastAsia="MS Mincho"/>
      <w:lang w:val="en-GB" w:eastAsia="ja-JP"/>
    </w:rPr>
  </w:style>
  <w:style w:type="character" w:customStyle="1" w:styleId="aps-heading1">
    <w:name w:val="aps-heading1"/>
    <w:basedOn w:val="DefaultParagraphFont"/>
    <w:rsid w:val="00145503"/>
    <w:rPr>
      <w:b/>
      <w:bCs/>
      <w:sz w:val="26"/>
      <w:szCs w:val="26"/>
    </w:rPr>
  </w:style>
  <w:style w:type="paragraph" w:styleId="FootnoteText">
    <w:name w:val="footnote text"/>
    <w:basedOn w:val="Normal"/>
    <w:link w:val="FootnoteTextChar1"/>
    <w:semiHidden/>
    <w:rsid w:val="00145503"/>
    <w:rPr>
      <w:sz w:val="20"/>
      <w:szCs w:val="20"/>
    </w:rPr>
  </w:style>
  <w:style w:type="paragraph" w:styleId="EndnoteText">
    <w:name w:val="endnote text"/>
    <w:basedOn w:val="Normal"/>
    <w:link w:val="EndnoteTextChar"/>
    <w:semiHidden/>
    <w:rsid w:val="00145503"/>
    <w:rPr>
      <w:sz w:val="20"/>
      <w:szCs w:val="20"/>
    </w:rPr>
  </w:style>
  <w:style w:type="character" w:styleId="EndnoteReference">
    <w:name w:val="endnote reference"/>
    <w:basedOn w:val="DefaultParagraphFont"/>
    <w:semiHidden/>
    <w:rsid w:val="00145503"/>
    <w:rPr>
      <w:vertAlign w:val="superscript"/>
    </w:rPr>
  </w:style>
  <w:style w:type="character" w:customStyle="1" w:styleId="yshortcuts">
    <w:name w:val="yshortcuts"/>
    <w:basedOn w:val="DefaultParagraphFont"/>
    <w:rsid w:val="00145503"/>
  </w:style>
  <w:style w:type="character" w:styleId="FootnoteReference">
    <w:name w:val="footnote reference"/>
    <w:basedOn w:val="DefaultParagraphFont"/>
    <w:semiHidden/>
    <w:rsid w:val="00145503"/>
    <w:rPr>
      <w:vertAlign w:val="superscript"/>
    </w:rPr>
  </w:style>
  <w:style w:type="paragraph" w:styleId="List">
    <w:name w:val="List"/>
    <w:basedOn w:val="Normal"/>
    <w:rsid w:val="00145503"/>
    <w:pPr>
      <w:ind w:left="360" w:hanging="360"/>
    </w:pPr>
  </w:style>
  <w:style w:type="paragraph" w:styleId="Salutation">
    <w:name w:val="Salutation"/>
    <w:basedOn w:val="Normal"/>
    <w:next w:val="Normal"/>
    <w:rsid w:val="00145503"/>
  </w:style>
  <w:style w:type="paragraph" w:styleId="Closing">
    <w:name w:val="Closing"/>
    <w:basedOn w:val="Normal"/>
    <w:rsid w:val="00145503"/>
    <w:pPr>
      <w:ind w:left="4320"/>
    </w:pPr>
  </w:style>
  <w:style w:type="paragraph" w:customStyle="1" w:styleId="InsideAddress">
    <w:name w:val="Inside Address"/>
    <w:basedOn w:val="Normal"/>
    <w:rsid w:val="00145503"/>
  </w:style>
  <w:style w:type="paragraph" w:styleId="Signature">
    <w:name w:val="Signature"/>
    <w:basedOn w:val="Normal"/>
    <w:rsid w:val="00145503"/>
    <w:pPr>
      <w:ind w:left="4320"/>
    </w:pPr>
  </w:style>
  <w:style w:type="character" w:styleId="CommentReference">
    <w:name w:val="annotation reference"/>
    <w:basedOn w:val="DefaultParagraphFont"/>
    <w:uiPriority w:val="99"/>
    <w:qFormat/>
    <w:rsid w:val="00145503"/>
    <w:rPr>
      <w:sz w:val="16"/>
      <w:szCs w:val="16"/>
    </w:rPr>
  </w:style>
  <w:style w:type="character" w:customStyle="1" w:styleId="jrnl">
    <w:name w:val="jrnl"/>
    <w:basedOn w:val="DefaultParagraphFont"/>
    <w:rsid w:val="00145503"/>
  </w:style>
  <w:style w:type="character" w:customStyle="1" w:styleId="pseudotab2">
    <w:name w:val="pseudotab2"/>
    <w:basedOn w:val="DefaultParagraphFont"/>
    <w:rsid w:val="00145503"/>
  </w:style>
  <w:style w:type="character" w:styleId="Strong">
    <w:name w:val="Strong"/>
    <w:basedOn w:val="DefaultParagraphFont"/>
    <w:uiPriority w:val="22"/>
    <w:qFormat/>
    <w:rsid w:val="00145503"/>
    <w:rPr>
      <w:b/>
      <w:bCs/>
    </w:rPr>
  </w:style>
  <w:style w:type="paragraph" w:styleId="BalloonText">
    <w:name w:val="Balloon Text"/>
    <w:basedOn w:val="Normal"/>
    <w:link w:val="BalloonTextChar"/>
    <w:uiPriority w:val="99"/>
    <w:unhideWhenUsed/>
    <w:qFormat/>
    <w:rsid w:val="0090489C"/>
    <w:rPr>
      <w:rFonts w:ascii="Tahoma" w:hAnsi="Tahoma"/>
      <w:sz w:val="16"/>
      <w:szCs w:val="16"/>
    </w:rPr>
  </w:style>
  <w:style w:type="character" w:customStyle="1" w:styleId="BalloonTextChar">
    <w:name w:val="Balloon Text Char"/>
    <w:basedOn w:val="DefaultParagraphFont"/>
    <w:link w:val="BalloonText"/>
    <w:uiPriority w:val="99"/>
    <w:qFormat/>
    <w:rsid w:val="0090489C"/>
    <w:rPr>
      <w:rFonts w:ascii="Tahoma" w:hAnsi="Tahoma"/>
      <w:sz w:val="16"/>
      <w:szCs w:val="16"/>
    </w:rPr>
  </w:style>
  <w:style w:type="table" w:styleId="TableGrid">
    <w:name w:val="Table Grid"/>
    <w:basedOn w:val="TableNormal"/>
    <w:uiPriority w:val="39"/>
    <w:qFormat/>
    <w:rsid w:val="007F4F5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7F4F50"/>
    <w:pPr>
      <w:spacing w:after="200" w:line="276" w:lineRule="auto"/>
      <w:ind w:left="720"/>
      <w:contextualSpacing/>
    </w:pPr>
    <w:rPr>
      <w:rFonts w:asciiTheme="minorHAnsi" w:eastAsiaTheme="minorEastAsia" w:hAnsiTheme="minorHAnsi" w:cstheme="minorBidi"/>
      <w:sz w:val="22"/>
      <w:szCs w:val="22"/>
    </w:rPr>
  </w:style>
  <w:style w:type="character" w:styleId="PlaceholderText">
    <w:name w:val="Placeholder Text"/>
    <w:basedOn w:val="DefaultParagraphFont"/>
    <w:uiPriority w:val="99"/>
    <w:semiHidden/>
    <w:qFormat/>
    <w:rsid w:val="007F4F50"/>
    <w:rPr>
      <w:color w:val="808080"/>
    </w:rPr>
  </w:style>
  <w:style w:type="paragraph" w:styleId="DocumentMap">
    <w:name w:val="Document Map"/>
    <w:basedOn w:val="Normal"/>
    <w:link w:val="DocumentMapChar"/>
    <w:uiPriority w:val="99"/>
    <w:unhideWhenUsed/>
    <w:rsid w:val="007F4F50"/>
    <w:rPr>
      <w:rFonts w:ascii="Tahoma" w:eastAsiaTheme="minorEastAsia" w:hAnsi="Tahoma" w:cs="Tahoma"/>
      <w:sz w:val="16"/>
      <w:szCs w:val="16"/>
    </w:rPr>
  </w:style>
  <w:style w:type="character" w:customStyle="1" w:styleId="DocumentMapChar">
    <w:name w:val="Document Map Char"/>
    <w:basedOn w:val="DefaultParagraphFont"/>
    <w:link w:val="DocumentMap"/>
    <w:uiPriority w:val="99"/>
    <w:rsid w:val="007F4F50"/>
    <w:rPr>
      <w:rFonts w:ascii="Tahoma" w:eastAsiaTheme="minorEastAsia" w:hAnsi="Tahoma" w:cs="Tahoma"/>
      <w:sz w:val="16"/>
      <w:szCs w:val="16"/>
    </w:rPr>
  </w:style>
  <w:style w:type="table" w:customStyle="1" w:styleId="GridTable1Light1">
    <w:name w:val="Grid Table 1 Light1"/>
    <w:basedOn w:val="TableNormal"/>
    <w:uiPriority w:val="46"/>
    <w:rsid w:val="00122EE1"/>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link w:val="NoSpacingChar"/>
    <w:uiPriority w:val="1"/>
    <w:qFormat/>
    <w:rsid w:val="00A55078"/>
    <w:rPr>
      <w:rFonts w:asciiTheme="minorHAnsi" w:eastAsiaTheme="minorEastAsia" w:hAnsiTheme="minorHAnsi" w:cstheme="minorBidi"/>
      <w:sz w:val="22"/>
      <w:szCs w:val="22"/>
    </w:rPr>
  </w:style>
  <w:style w:type="character" w:customStyle="1" w:styleId="productdetail-authorsmain">
    <w:name w:val="productdetail-authorsmain"/>
    <w:basedOn w:val="DefaultParagraphFont"/>
    <w:rsid w:val="00A55078"/>
  </w:style>
  <w:style w:type="paragraph" w:customStyle="1" w:styleId="MTDisplayEquation">
    <w:name w:val="MTDisplayEquation"/>
    <w:basedOn w:val="Normal"/>
    <w:next w:val="Normal"/>
    <w:link w:val="MTDisplayEquationChar"/>
    <w:rsid w:val="00381392"/>
    <w:pPr>
      <w:tabs>
        <w:tab w:val="center" w:pos="4520"/>
        <w:tab w:val="right" w:pos="9020"/>
      </w:tabs>
      <w:autoSpaceDE w:val="0"/>
      <w:autoSpaceDN w:val="0"/>
      <w:adjustRightInd w:val="0"/>
    </w:pPr>
    <w:rPr>
      <w:rFonts w:eastAsiaTheme="minorEastAsia"/>
      <w:sz w:val="32"/>
      <w:szCs w:val="32"/>
    </w:rPr>
  </w:style>
  <w:style w:type="character" w:customStyle="1" w:styleId="MTDisplayEquationChar">
    <w:name w:val="MTDisplayEquation Char"/>
    <w:basedOn w:val="DefaultParagraphFont"/>
    <w:link w:val="MTDisplayEquation"/>
    <w:rsid w:val="00381392"/>
    <w:rPr>
      <w:rFonts w:eastAsiaTheme="minorEastAsia"/>
      <w:sz w:val="32"/>
      <w:szCs w:val="32"/>
    </w:rPr>
  </w:style>
  <w:style w:type="character" w:customStyle="1" w:styleId="mwe-math-mathml-inline">
    <w:name w:val="mwe-math-mathml-inline"/>
    <w:basedOn w:val="DefaultParagraphFont"/>
    <w:rsid w:val="00381392"/>
  </w:style>
  <w:style w:type="character" w:styleId="Emphasis">
    <w:name w:val="Emphasis"/>
    <w:basedOn w:val="DefaultParagraphFont"/>
    <w:uiPriority w:val="20"/>
    <w:qFormat/>
    <w:rsid w:val="00B74269"/>
    <w:rPr>
      <w:i/>
      <w:iCs/>
    </w:rPr>
  </w:style>
  <w:style w:type="paragraph" w:styleId="HTMLPreformatted">
    <w:name w:val="HTML Preformatted"/>
    <w:basedOn w:val="Normal"/>
    <w:link w:val="HTMLPreformattedChar"/>
    <w:uiPriority w:val="99"/>
    <w:unhideWhenUsed/>
    <w:qFormat/>
    <w:rsid w:val="00C30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qFormat/>
    <w:rsid w:val="00C30274"/>
    <w:rPr>
      <w:rFonts w:ascii="Courier New" w:hAnsi="Courier New" w:cs="Courier New"/>
    </w:rPr>
  </w:style>
  <w:style w:type="character" w:styleId="LineNumber">
    <w:name w:val="line number"/>
    <w:basedOn w:val="DefaultParagraphFont"/>
    <w:uiPriority w:val="99"/>
    <w:unhideWhenUsed/>
    <w:rsid w:val="00C30274"/>
  </w:style>
  <w:style w:type="character" w:customStyle="1" w:styleId="tooltip">
    <w:name w:val="tooltip"/>
    <w:basedOn w:val="DefaultParagraphFont"/>
    <w:qFormat/>
    <w:rsid w:val="00C30274"/>
  </w:style>
  <w:style w:type="character" w:customStyle="1" w:styleId="gnkrckgcgsb">
    <w:name w:val="gnkrckgcgsb"/>
    <w:basedOn w:val="DefaultParagraphFont"/>
    <w:qFormat/>
    <w:rsid w:val="00C30274"/>
  </w:style>
  <w:style w:type="paragraph" w:customStyle="1" w:styleId="z-TopofForm1">
    <w:name w:val="z-Top of Form1"/>
    <w:basedOn w:val="Normal"/>
    <w:next w:val="Normal"/>
    <w:link w:val="z-TopofFormChar"/>
    <w:uiPriority w:val="99"/>
    <w:semiHidden/>
    <w:unhideWhenUsed/>
    <w:qFormat/>
    <w:rsid w:val="00C3027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qFormat/>
    <w:rsid w:val="00C30274"/>
    <w:rPr>
      <w:rFonts w:ascii="Arial" w:hAnsi="Arial" w:cs="Arial"/>
      <w:vanish/>
      <w:sz w:val="16"/>
      <w:szCs w:val="16"/>
    </w:rPr>
  </w:style>
  <w:style w:type="paragraph" w:customStyle="1" w:styleId="z-BottomofForm1">
    <w:name w:val="z-Bottom of Form1"/>
    <w:basedOn w:val="Normal"/>
    <w:next w:val="Normal"/>
    <w:link w:val="z-BottomofFormChar"/>
    <w:uiPriority w:val="99"/>
    <w:semiHidden/>
    <w:unhideWhenUsed/>
    <w:qFormat/>
    <w:rsid w:val="00C3027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qFormat/>
    <w:rsid w:val="00C30274"/>
    <w:rPr>
      <w:rFonts w:ascii="Arial" w:hAnsi="Arial" w:cs="Arial"/>
      <w:vanish/>
      <w:sz w:val="16"/>
      <w:szCs w:val="16"/>
    </w:rPr>
  </w:style>
  <w:style w:type="table" w:customStyle="1" w:styleId="PlainTable21">
    <w:name w:val="Plain Table 21"/>
    <w:basedOn w:val="TableNormal"/>
    <w:uiPriority w:val="42"/>
    <w:qFormat/>
    <w:rsid w:val="00C30274"/>
    <w:rPr>
      <w:rFonts w:eastAsia="SimSun"/>
      <w:lang w:val="en-SG" w:eastAsia="en-SG"/>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ojvnm2t">
    <w:name w:val="tojvnm2t"/>
    <w:basedOn w:val="DefaultParagraphFont"/>
    <w:qFormat/>
    <w:rsid w:val="00C30274"/>
  </w:style>
  <w:style w:type="character" w:customStyle="1" w:styleId="linkify">
    <w:name w:val="linkify"/>
    <w:basedOn w:val="DefaultParagraphFont"/>
    <w:rsid w:val="00743B83"/>
  </w:style>
  <w:style w:type="character" w:customStyle="1" w:styleId="hgkelc">
    <w:name w:val="hgkelc"/>
    <w:basedOn w:val="DefaultParagraphFont"/>
    <w:rsid w:val="00743B83"/>
  </w:style>
  <w:style w:type="character" w:customStyle="1" w:styleId="markedcontent">
    <w:name w:val="markedcontent"/>
    <w:basedOn w:val="DefaultParagraphFont"/>
    <w:rsid w:val="00743B83"/>
  </w:style>
  <w:style w:type="character" w:customStyle="1" w:styleId="citation">
    <w:name w:val="citation"/>
    <w:basedOn w:val="DefaultParagraphFont"/>
    <w:rsid w:val="00743B83"/>
  </w:style>
  <w:style w:type="character" w:customStyle="1" w:styleId="reference">
    <w:name w:val="reference"/>
    <w:basedOn w:val="DefaultParagraphFont"/>
    <w:rsid w:val="00743B83"/>
  </w:style>
  <w:style w:type="character" w:customStyle="1" w:styleId="mjxassistivemathml">
    <w:name w:val="mjx_assistive_mathml"/>
    <w:basedOn w:val="DefaultParagraphFont"/>
    <w:rsid w:val="00D1606C"/>
  </w:style>
  <w:style w:type="paragraph" w:styleId="CommentSubject">
    <w:name w:val="annotation subject"/>
    <w:basedOn w:val="CommentText"/>
    <w:next w:val="CommentText"/>
    <w:link w:val="CommentSubjectChar"/>
    <w:uiPriority w:val="99"/>
    <w:unhideWhenUsed/>
    <w:rsid w:val="00D1606C"/>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qFormat/>
    <w:rsid w:val="00D1606C"/>
    <w:rPr>
      <w:rFonts w:asciiTheme="minorHAnsi" w:eastAsiaTheme="minorHAnsi" w:hAnsiTheme="minorHAnsi" w:cstheme="minorBidi"/>
      <w:b/>
      <w:bCs/>
    </w:rPr>
  </w:style>
  <w:style w:type="table" w:customStyle="1" w:styleId="TableGrid1">
    <w:name w:val="Table Grid1"/>
    <w:basedOn w:val="TableNormal"/>
    <w:next w:val="TableGrid"/>
    <w:uiPriority w:val="59"/>
    <w:qFormat/>
    <w:rsid w:val="00D160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D160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E7018"/>
    <w:rPr>
      <w:rFonts w:asciiTheme="minorHAnsi" w:eastAsiaTheme="minorHAnsi" w:hAnsiTheme="minorHAnsi" w:cstheme="minorBidi"/>
      <w:sz w:val="22"/>
      <w:szCs w:val="22"/>
    </w:rPr>
  </w:style>
  <w:style w:type="character" w:customStyle="1" w:styleId="fontstyle01">
    <w:name w:val="fontstyle01"/>
    <w:basedOn w:val="DefaultParagraphFont"/>
    <w:rsid w:val="00B34854"/>
    <w:rPr>
      <w:rFonts w:ascii="CMR10" w:hAnsi="CMR10" w:hint="default"/>
      <w:b w:val="0"/>
      <w:bCs w:val="0"/>
      <w:i w:val="0"/>
      <w:iCs w:val="0"/>
      <w:color w:val="000000"/>
      <w:sz w:val="20"/>
      <w:szCs w:val="20"/>
    </w:rPr>
  </w:style>
  <w:style w:type="paragraph" w:styleId="TOCHeading">
    <w:name w:val="TOC Heading"/>
    <w:basedOn w:val="Heading1"/>
    <w:next w:val="Normal"/>
    <w:unhideWhenUsed/>
    <w:qFormat/>
    <w:rsid w:val="000272AD"/>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nhideWhenUsed/>
    <w:rsid w:val="000272AD"/>
    <w:pPr>
      <w:spacing w:before="360" w:after="360"/>
    </w:pPr>
    <w:rPr>
      <w:rFonts w:asciiTheme="minorHAnsi" w:eastAsiaTheme="minorHAnsi" w:hAnsiTheme="minorHAnsi" w:cstheme="minorBidi"/>
      <w:b/>
      <w:bCs/>
      <w:caps/>
      <w:sz w:val="22"/>
      <w:szCs w:val="22"/>
      <w:u w:val="single"/>
    </w:rPr>
  </w:style>
  <w:style w:type="paragraph" w:styleId="TOC2">
    <w:name w:val="toc 2"/>
    <w:basedOn w:val="Normal"/>
    <w:next w:val="Normal"/>
    <w:autoRedefine/>
    <w:unhideWhenUsed/>
    <w:rsid w:val="000272AD"/>
    <w:rPr>
      <w:rFonts w:asciiTheme="minorHAnsi" w:eastAsiaTheme="minorHAnsi" w:hAnsiTheme="minorHAnsi" w:cstheme="minorBidi"/>
      <w:b/>
      <w:bCs/>
      <w:smallCaps/>
      <w:sz w:val="22"/>
      <w:szCs w:val="22"/>
    </w:rPr>
  </w:style>
  <w:style w:type="paragraph" w:styleId="TOC3">
    <w:name w:val="toc 3"/>
    <w:basedOn w:val="Normal"/>
    <w:next w:val="Normal"/>
    <w:autoRedefine/>
    <w:unhideWhenUsed/>
    <w:rsid w:val="000272AD"/>
    <w:rPr>
      <w:rFonts w:asciiTheme="minorHAnsi" w:eastAsiaTheme="minorHAnsi" w:hAnsiTheme="minorHAnsi" w:cstheme="minorBidi"/>
      <w:smallCaps/>
      <w:sz w:val="22"/>
      <w:szCs w:val="22"/>
    </w:rPr>
  </w:style>
  <w:style w:type="paragraph" w:styleId="TOC4">
    <w:name w:val="toc 4"/>
    <w:basedOn w:val="Normal"/>
    <w:next w:val="Normal"/>
    <w:autoRedefine/>
    <w:unhideWhenUsed/>
    <w:rsid w:val="000272AD"/>
    <w:rPr>
      <w:rFonts w:asciiTheme="minorHAnsi" w:eastAsiaTheme="minorHAnsi" w:hAnsiTheme="minorHAnsi" w:cstheme="minorBidi"/>
      <w:sz w:val="22"/>
      <w:szCs w:val="22"/>
    </w:rPr>
  </w:style>
  <w:style w:type="paragraph" w:styleId="TOC5">
    <w:name w:val="toc 5"/>
    <w:basedOn w:val="Normal"/>
    <w:next w:val="Normal"/>
    <w:autoRedefine/>
    <w:unhideWhenUsed/>
    <w:rsid w:val="000272AD"/>
    <w:rPr>
      <w:rFonts w:asciiTheme="minorHAnsi" w:eastAsiaTheme="minorHAnsi" w:hAnsiTheme="minorHAnsi" w:cstheme="minorBidi"/>
      <w:sz w:val="22"/>
      <w:szCs w:val="22"/>
    </w:rPr>
  </w:style>
  <w:style w:type="paragraph" w:styleId="TOC6">
    <w:name w:val="toc 6"/>
    <w:basedOn w:val="Normal"/>
    <w:next w:val="Normal"/>
    <w:autoRedefine/>
    <w:unhideWhenUsed/>
    <w:rsid w:val="000272AD"/>
    <w:rPr>
      <w:rFonts w:asciiTheme="minorHAnsi" w:eastAsiaTheme="minorHAnsi" w:hAnsiTheme="minorHAnsi" w:cstheme="minorBidi"/>
      <w:sz w:val="22"/>
      <w:szCs w:val="22"/>
    </w:rPr>
  </w:style>
  <w:style w:type="paragraph" w:styleId="TOC7">
    <w:name w:val="toc 7"/>
    <w:basedOn w:val="Normal"/>
    <w:next w:val="Normal"/>
    <w:autoRedefine/>
    <w:unhideWhenUsed/>
    <w:rsid w:val="000272AD"/>
    <w:rPr>
      <w:rFonts w:asciiTheme="minorHAnsi" w:eastAsiaTheme="minorHAnsi" w:hAnsiTheme="minorHAnsi" w:cstheme="minorBidi"/>
      <w:sz w:val="22"/>
      <w:szCs w:val="22"/>
    </w:rPr>
  </w:style>
  <w:style w:type="paragraph" w:styleId="TOC8">
    <w:name w:val="toc 8"/>
    <w:basedOn w:val="Normal"/>
    <w:next w:val="Normal"/>
    <w:autoRedefine/>
    <w:unhideWhenUsed/>
    <w:rsid w:val="000272AD"/>
    <w:rPr>
      <w:rFonts w:asciiTheme="minorHAnsi" w:eastAsiaTheme="minorHAnsi" w:hAnsiTheme="minorHAnsi" w:cstheme="minorBidi"/>
      <w:sz w:val="22"/>
      <w:szCs w:val="22"/>
    </w:rPr>
  </w:style>
  <w:style w:type="paragraph" w:styleId="TOC9">
    <w:name w:val="toc 9"/>
    <w:basedOn w:val="Normal"/>
    <w:next w:val="Normal"/>
    <w:autoRedefine/>
    <w:unhideWhenUsed/>
    <w:rsid w:val="000272AD"/>
    <w:rPr>
      <w:rFonts w:asciiTheme="minorHAnsi" w:eastAsiaTheme="minorHAnsi" w:hAnsiTheme="minorHAnsi" w:cstheme="minorBidi"/>
      <w:sz w:val="22"/>
      <w:szCs w:val="22"/>
    </w:rPr>
  </w:style>
  <w:style w:type="character" w:customStyle="1" w:styleId="sc-prorn">
    <w:name w:val="sc-prorn"/>
    <w:basedOn w:val="DefaultParagraphFont"/>
    <w:rsid w:val="000272AD"/>
  </w:style>
  <w:style w:type="character" w:customStyle="1" w:styleId="sc-provx">
    <w:name w:val="sc-provx"/>
    <w:basedOn w:val="DefaultParagraphFont"/>
    <w:rsid w:val="000272AD"/>
  </w:style>
  <w:style w:type="character" w:customStyle="1" w:styleId="apple-converted-space">
    <w:name w:val="apple-converted-space"/>
    <w:basedOn w:val="DefaultParagraphFont"/>
    <w:rsid w:val="000272AD"/>
  </w:style>
  <w:style w:type="character" w:customStyle="1" w:styleId="Heading7Char">
    <w:name w:val="Heading 7 Char"/>
    <w:basedOn w:val="DefaultParagraphFont"/>
    <w:link w:val="Heading7"/>
    <w:qFormat/>
    <w:rsid w:val="008E3599"/>
    <w:rPr>
      <w:b/>
      <w:sz w:val="22"/>
      <w:szCs w:val="24"/>
    </w:rPr>
  </w:style>
  <w:style w:type="character" w:customStyle="1" w:styleId="ListParagraphChar">
    <w:name w:val="List Paragraph Char"/>
    <w:link w:val="ListParagraph"/>
    <w:uiPriority w:val="34"/>
    <w:qFormat/>
    <w:rsid w:val="008E3599"/>
    <w:rPr>
      <w:rFonts w:asciiTheme="minorHAnsi" w:eastAsiaTheme="minorEastAsia" w:hAnsiTheme="minorHAnsi" w:cstheme="minorBidi"/>
      <w:sz w:val="22"/>
      <w:szCs w:val="22"/>
    </w:rPr>
  </w:style>
  <w:style w:type="character" w:customStyle="1" w:styleId="highlight">
    <w:name w:val="highlight"/>
    <w:basedOn w:val="DefaultParagraphFont"/>
    <w:qFormat/>
    <w:rsid w:val="008E3599"/>
  </w:style>
  <w:style w:type="character" w:customStyle="1" w:styleId="BalloonTextChar1">
    <w:name w:val="Balloon Text Char1"/>
    <w:aliases w:val="Char Char2 Char1,Char Char21 Char1,Char Char211 Char1"/>
    <w:basedOn w:val="DefaultParagraphFont"/>
    <w:qFormat/>
    <w:rsid w:val="008E3599"/>
    <w:rPr>
      <w:rFonts w:ascii="Tahoma" w:hAnsi="Tahoma" w:cs="Tahoma"/>
      <w:sz w:val="16"/>
      <w:szCs w:val="16"/>
    </w:rPr>
  </w:style>
  <w:style w:type="character" w:customStyle="1" w:styleId="BodyText2Char">
    <w:name w:val="Body Text 2 Char"/>
    <w:basedOn w:val="DefaultParagraphFont"/>
    <w:link w:val="BodyText2"/>
    <w:qFormat/>
    <w:rsid w:val="008E3599"/>
    <w:rPr>
      <w:sz w:val="24"/>
      <w:szCs w:val="24"/>
    </w:rPr>
  </w:style>
  <w:style w:type="character" w:customStyle="1" w:styleId="normaltext">
    <w:name w:val="normaltext"/>
    <w:basedOn w:val="DefaultParagraphFont"/>
    <w:qFormat/>
    <w:rsid w:val="008E3599"/>
  </w:style>
  <w:style w:type="paragraph" w:customStyle="1" w:styleId="Revision1">
    <w:name w:val="Revision1"/>
    <w:hidden/>
    <w:uiPriority w:val="99"/>
    <w:semiHidden/>
    <w:qFormat/>
    <w:rsid w:val="008E3599"/>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qFormat/>
    <w:rsid w:val="008E3599"/>
    <w:rPr>
      <w:color w:val="605E5C"/>
      <w:shd w:val="clear" w:color="auto" w:fill="E1DFDD"/>
    </w:rPr>
  </w:style>
  <w:style w:type="character" w:customStyle="1" w:styleId="disblock">
    <w:name w:val="disblock"/>
    <w:basedOn w:val="DefaultParagraphFont"/>
    <w:qFormat/>
    <w:rsid w:val="008E3599"/>
  </w:style>
  <w:style w:type="character" w:customStyle="1" w:styleId="cls-response">
    <w:name w:val="cls-response"/>
    <w:basedOn w:val="DefaultParagraphFont"/>
    <w:qFormat/>
    <w:rsid w:val="008E3599"/>
  </w:style>
  <w:style w:type="numbering" w:customStyle="1" w:styleId="NoList1">
    <w:name w:val="No List1"/>
    <w:next w:val="NoList"/>
    <w:uiPriority w:val="99"/>
    <w:semiHidden/>
    <w:unhideWhenUsed/>
    <w:rsid w:val="008E3599"/>
  </w:style>
  <w:style w:type="character" w:customStyle="1" w:styleId="Heading8Char">
    <w:name w:val="Heading 8 Char"/>
    <w:basedOn w:val="DefaultParagraphFont"/>
    <w:link w:val="Heading8"/>
    <w:locked/>
    <w:rsid w:val="008E3599"/>
    <w:rPr>
      <w:i/>
      <w:iCs/>
      <w:sz w:val="28"/>
      <w:szCs w:val="24"/>
    </w:rPr>
  </w:style>
  <w:style w:type="character" w:customStyle="1" w:styleId="Heading9Char">
    <w:name w:val="Heading 9 Char"/>
    <w:basedOn w:val="DefaultParagraphFont"/>
    <w:link w:val="Heading9"/>
    <w:locked/>
    <w:rsid w:val="008E3599"/>
    <w:rPr>
      <w:b/>
      <w:szCs w:val="28"/>
    </w:rPr>
  </w:style>
  <w:style w:type="character" w:customStyle="1" w:styleId="FootnoteTextChar">
    <w:name w:val="Footnote Text Char"/>
    <w:basedOn w:val="DefaultParagraphFont"/>
    <w:semiHidden/>
    <w:locked/>
    <w:rsid w:val="008E3599"/>
    <w:rPr>
      <w:rFonts w:cs="Times New Roman"/>
      <w:sz w:val="20"/>
      <w:szCs w:val="20"/>
    </w:rPr>
  </w:style>
  <w:style w:type="character" w:customStyle="1" w:styleId="FooterChar1">
    <w:name w:val="Footer Char1"/>
    <w:aliases w:val="Char Char"/>
    <w:basedOn w:val="DefaultParagraphFont"/>
    <w:locked/>
    <w:rsid w:val="008E3599"/>
    <w:rPr>
      <w:rFonts w:cs="Times New Roman"/>
    </w:rPr>
  </w:style>
  <w:style w:type="character" w:customStyle="1" w:styleId="EndnoteTextChar">
    <w:name w:val="Endnote Text Char"/>
    <w:basedOn w:val="DefaultParagraphFont"/>
    <w:link w:val="EndnoteText"/>
    <w:semiHidden/>
    <w:locked/>
    <w:rsid w:val="008E3599"/>
  </w:style>
  <w:style w:type="character" w:customStyle="1" w:styleId="TitleChar">
    <w:name w:val="Title Char"/>
    <w:basedOn w:val="DefaultParagraphFont"/>
    <w:link w:val="Title"/>
    <w:locked/>
    <w:rsid w:val="008E3599"/>
    <w:rPr>
      <w:b/>
      <w:bCs/>
      <w:caps/>
      <w:szCs w:val="24"/>
    </w:rPr>
  </w:style>
  <w:style w:type="character" w:customStyle="1" w:styleId="BodyTextIndentChar">
    <w:name w:val="Body Text Indent Char"/>
    <w:basedOn w:val="DefaultParagraphFont"/>
    <w:link w:val="BodyTextIndent"/>
    <w:locked/>
    <w:rsid w:val="008E3599"/>
    <w:rPr>
      <w:sz w:val="18"/>
      <w:szCs w:val="24"/>
    </w:rPr>
  </w:style>
  <w:style w:type="paragraph" w:styleId="ListContinue">
    <w:name w:val="List Continue"/>
    <w:basedOn w:val="Normal"/>
    <w:rsid w:val="008E3599"/>
    <w:pPr>
      <w:widowControl w:val="0"/>
      <w:spacing w:before="120" w:after="120"/>
      <w:ind w:left="360"/>
      <w:jc w:val="both"/>
    </w:pPr>
    <w:rPr>
      <w:rFonts w:ascii="Courier New" w:eastAsia="Calibri" w:hAnsi="Courier New" w:cs="Courier New"/>
    </w:rPr>
  </w:style>
  <w:style w:type="paragraph" w:styleId="Subtitle">
    <w:name w:val="Subtitle"/>
    <w:basedOn w:val="Normal"/>
    <w:next w:val="Normal"/>
    <w:link w:val="SubtitleChar"/>
    <w:qFormat/>
    <w:rsid w:val="008E3599"/>
    <w:pPr>
      <w:keepNext/>
      <w:keepLines/>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rsid w:val="008E3599"/>
    <w:rPr>
      <w:rFonts w:ascii="Georgia" w:hAnsi="Georgia" w:cs="Georgia"/>
      <w:i/>
      <w:iCs/>
      <w:color w:val="666666"/>
      <w:sz w:val="48"/>
      <w:szCs w:val="48"/>
    </w:rPr>
  </w:style>
  <w:style w:type="character" w:customStyle="1" w:styleId="BodyText3Char">
    <w:name w:val="Body Text 3 Char"/>
    <w:basedOn w:val="DefaultParagraphFont"/>
    <w:link w:val="BodyText3"/>
    <w:locked/>
    <w:rsid w:val="008E3599"/>
    <w:rPr>
      <w:sz w:val="16"/>
      <w:szCs w:val="16"/>
    </w:rPr>
  </w:style>
  <w:style w:type="character" w:customStyle="1" w:styleId="BodyTextIndent2Char">
    <w:name w:val="Body Text Indent 2 Char"/>
    <w:basedOn w:val="DefaultParagraphFont"/>
    <w:link w:val="BodyTextIndent2"/>
    <w:locked/>
    <w:rsid w:val="008E3599"/>
    <w:rPr>
      <w:sz w:val="24"/>
      <w:szCs w:val="24"/>
    </w:rPr>
  </w:style>
  <w:style w:type="character" w:customStyle="1" w:styleId="BodyTextIndent3Char">
    <w:name w:val="Body Text Indent 3 Char"/>
    <w:basedOn w:val="DefaultParagraphFont"/>
    <w:link w:val="BodyTextIndent3"/>
    <w:locked/>
    <w:rsid w:val="008E3599"/>
    <w:rPr>
      <w:rFonts w:ascii="Century Schoolbook" w:hAnsi="Century Schoolbook"/>
      <w:sz w:val="24"/>
      <w:szCs w:val="24"/>
    </w:rPr>
  </w:style>
  <w:style w:type="character" w:customStyle="1" w:styleId="PlainTextChar">
    <w:name w:val="Plain Text Char"/>
    <w:basedOn w:val="DefaultParagraphFont"/>
    <w:link w:val="PlainText"/>
    <w:locked/>
    <w:rsid w:val="008E3599"/>
    <w:rPr>
      <w:rFonts w:ascii="Courier New" w:hAnsi="Courier New"/>
    </w:rPr>
  </w:style>
  <w:style w:type="paragraph" w:customStyle="1" w:styleId="BalloonText1">
    <w:name w:val="Balloon Text1"/>
    <w:aliases w:val="Char Char21,Char Char211,Char Char2111,Char Char3,Char Char31,Char Char4"/>
    <w:basedOn w:val="Normal"/>
    <w:rsid w:val="008E3599"/>
    <w:rPr>
      <w:rFonts w:ascii="Tahoma" w:hAnsi="Tahoma" w:cs="Tahoma"/>
      <w:sz w:val="16"/>
      <w:szCs w:val="16"/>
    </w:rPr>
  </w:style>
  <w:style w:type="character" w:customStyle="1" w:styleId="NoSpacingChar">
    <w:name w:val="No Spacing Char"/>
    <w:basedOn w:val="DefaultParagraphFont"/>
    <w:link w:val="NoSpacing"/>
    <w:locked/>
    <w:rsid w:val="008E3599"/>
    <w:rPr>
      <w:rFonts w:asciiTheme="minorHAnsi" w:eastAsiaTheme="minorEastAsia" w:hAnsiTheme="minorHAnsi" w:cstheme="minorBidi"/>
      <w:sz w:val="22"/>
      <w:szCs w:val="22"/>
    </w:rPr>
  </w:style>
  <w:style w:type="paragraph" w:customStyle="1" w:styleId="ListParagraph1">
    <w:name w:val="List Paragraph1"/>
    <w:aliases w:val="References,Dot pt,F5 List Paragraph,List Paragraph Char Char Char,Indicator Text,Numbered Para 1,Evidence on Demand bullet points,Bullets 1 space,List Paragraph11,Recommendatio,Párrafo de lista,Recommendation"/>
    <w:basedOn w:val="Normal"/>
    <w:rsid w:val="008E3599"/>
    <w:pPr>
      <w:spacing w:after="160" w:line="256" w:lineRule="auto"/>
      <w:ind w:left="720"/>
    </w:pPr>
    <w:rPr>
      <w:rFonts w:ascii="Calibri" w:hAnsi="Calibri" w:cs="Calibri"/>
      <w:sz w:val="22"/>
      <w:szCs w:val="22"/>
    </w:rPr>
  </w:style>
  <w:style w:type="paragraph" w:styleId="Quote">
    <w:name w:val="Quote"/>
    <w:basedOn w:val="Normal"/>
    <w:next w:val="Normal"/>
    <w:link w:val="QuoteChar"/>
    <w:qFormat/>
    <w:rsid w:val="008E3599"/>
    <w:pPr>
      <w:jc w:val="center"/>
    </w:pPr>
    <w:rPr>
      <w:rFonts w:ascii="Nikosh" w:eastAsia="Calibri" w:hAnsi="Nikosh" w:cs="Nikosh"/>
      <w:color w:val="000000"/>
      <w:sz w:val="26"/>
      <w:szCs w:val="26"/>
    </w:rPr>
  </w:style>
  <w:style w:type="character" w:customStyle="1" w:styleId="QuoteChar">
    <w:name w:val="Quote Char"/>
    <w:basedOn w:val="DefaultParagraphFont"/>
    <w:link w:val="Quote"/>
    <w:rsid w:val="008E3599"/>
    <w:rPr>
      <w:rFonts w:ascii="Nikosh" w:eastAsia="Calibri" w:hAnsi="Nikosh" w:cs="Nikosh"/>
      <w:color w:val="000000"/>
      <w:sz w:val="26"/>
      <w:szCs w:val="26"/>
    </w:rPr>
  </w:style>
  <w:style w:type="paragraph" w:customStyle="1" w:styleId="Para1">
    <w:name w:val="Para 1"/>
    <w:basedOn w:val="Normal"/>
    <w:rsid w:val="008E3599"/>
    <w:pPr>
      <w:spacing w:beforeLines="100" w:afterLines="100" w:line="288" w:lineRule="atLeast"/>
    </w:pPr>
    <w:rPr>
      <w:rFonts w:ascii="Cambria" w:hAnsi="Cambria" w:cs="Cambria"/>
      <w:b/>
      <w:bCs/>
      <w:color w:val="000000"/>
    </w:rPr>
  </w:style>
  <w:style w:type="paragraph" w:customStyle="1" w:styleId="Pa6">
    <w:name w:val="Pa6"/>
    <w:basedOn w:val="Normal"/>
    <w:next w:val="Normal"/>
    <w:rsid w:val="008E3599"/>
    <w:pPr>
      <w:autoSpaceDE w:val="0"/>
      <w:autoSpaceDN w:val="0"/>
      <w:adjustRightInd w:val="0"/>
      <w:spacing w:line="241" w:lineRule="atLeast"/>
    </w:pPr>
    <w:rPr>
      <w:rFonts w:eastAsia="Calibri"/>
    </w:rPr>
  </w:style>
  <w:style w:type="paragraph" w:customStyle="1" w:styleId="Pa1">
    <w:name w:val="Pa1"/>
    <w:basedOn w:val="Normal"/>
    <w:next w:val="Normal"/>
    <w:rsid w:val="008E3599"/>
    <w:pPr>
      <w:autoSpaceDE w:val="0"/>
      <w:autoSpaceDN w:val="0"/>
      <w:adjustRightInd w:val="0"/>
      <w:spacing w:line="241" w:lineRule="atLeast"/>
    </w:pPr>
    <w:rPr>
      <w:rFonts w:eastAsia="Calibri"/>
    </w:rPr>
  </w:style>
  <w:style w:type="paragraph" w:customStyle="1" w:styleId="xl24">
    <w:name w:val="xl24"/>
    <w:basedOn w:val="Normal"/>
    <w:rsid w:val="008E3599"/>
    <w:pPr>
      <w:spacing w:before="100" w:beforeAutospacing="1" w:after="100" w:afterAutospacing="1"/>
      <w:jc w:val="both"/>
    </w:pPr>
    <w:rPr>
      <w:rFonts w:ascii="Calibri" w:hAnsi="Calibri" w:cs="Calibri"/>
    </w:rPr>
  </w:style>
  <w:style w:type="paragraph" w:customStyle="1" w:styleId="xl29">
    <w:name w:val="xl29"/>
    <w:basedOn w:val="Normal"/>
    <w:rsid w:val="008E3599"/>
    <w:pPr>
      <w:spacing w:before="100" w:beforeAutospacing="1" w:after="100" w:afterAutospacing="1"/>
      <w:jc w:val="center"/>
    </w:pPr>
    <w:rPr>
      <w:rFonts w:eastAsia="Calibri"/>
      <w:b/>
      <w:bCs/>
    </w:rPr>
  </w:style>
  <w:style w:type="paragraph" w:customStyle="1" w:styleId="xl25">
    <w:name w:val="xl25"/>
    <w:basedOn w:val="Normal"/>
    <w:rsid w:val="008E3599"/>
    <w:pPr>
      <w:pBdr>
        <w:right w:val="single" w:sz="4" w:space="0" w:color="auto"/>
      </w:pBdr>
      <w:spacing w:before="100" w:beforeAutospacing="1" w:after="100" w:afterAutospacing="1"/>
      <w:jc w:val="center"/>
    </w:pPr>
    <w:rPr>
      <w:rFonts w:ascii="Calibri" w:hAnsi="Calibri" w:cs="Calibri"/>
      <w:sz w:val="16"/>
      <w:szCs w:val="16"/>
    </w:rPr>
  </w:style>
  <w:style w:type="paragraph" w:customStyle="1" w:styleId="xl26">
    <w:name w:val="xl26"/>
    <w:basedOn w:val="Normal"/>
    <w:rsid w:val="008E3599"/>
    <w:pPr>
      <w:spacing w:before="100" w:beforeAutospacing="1" w:after="100" w:afterAutospacing="1"/>
      <w:jc w:val="center"/>
    </w:pPr>
    <w:rPr>
      <w:rFonts w:ascii="Calibri" w:hAnsi="Calibri" w:cs="Calibri"/>
    </w:rPr>
  </w:style>
  <w:style w:type="paragraph" w:customStyle="1" w:styleId="xl27">
    <w:name w:val="xl27"/>
    <w:basedOn w:val="Normal"/>
    <w:rsid w:val="008E3599"/>
    <w:pPr>
      <w:pBdr>
        <w:right w:val="single" w:sz="4" w:space="0" w:color="auto"/>
      </w:pBdr>
      <w:spacing w:before="100" w:beforeAutospacing="1" w:after="100" w:afterAutospacing="1"/>
      <w:jc w:val="center"/>
    </w:pPr>
    <w:rPr>
      <w:rFonts w:ascii="Calibri" w:hAnsi="Calibri" w:cs="Calibri"/>
    </w:rPr>
  </w:style>
  <w:style w:type="paragraph" w:customStyle="1" w:styleId="xl28">
    <w:name w:val="xl28"/>
    <w:basedOn w:val="Normal"/>
    <w:rsid w:val="008E3599"/>
    <w:pPr>
      <w:spacing w:before="100" w:beforeAutospacing="1" w:after="100" w:afterAutospacing="1"/>
      <w:jc w:val="center"/>
    </w:pPr>
    <w:rPr>
      <w:rFonts w:ascii="Calibri" w:hAnsi="Calibri" w:cs="Calibri"/>
    </w:rPr>
  </w:style>
  <w:style w:type="paragraph" w:customStyle="1" w:styleId="xl30">
    <w:name w:val="xl3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rPr>
  </w:style>
  <w:style w:type="paragraph" w:customStyle="1" w:styleId="xl31">
    <w:name w:val="xl31"/>
    <w:basedOn w:val="Normal"/>
    <w:rsid w:val="008E3599"/>
    <w:pPr>
      <w:pBdr>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32">
    <w:name w:val="xl32"/>
    <w:basedOn w:val="Normal"/>
    <w:rsid w:val="008E3599"/>
    <w:pPr>
      <w:pBdr>
        <w:top w:val="single" w:sz="4" w:space="0" w:color="auto"/>
        <w:left w:val="single" w:sz="4" w:space="0" w:color="auto"/>
        <w:bottom w:val="single" w:sz="4" w:space="0" w:color="auto"/>
      </w:pBdr>
      <w:spacing w:before="100" w:beforeAutospacing="1" w:after="100" w:afterAutospacing="1"/>
      <w:jc w:val="center"/>
    </w:pPr>
    <w:rPr>
      <w:rFonts w:ascii="Calibri" w:hAnsi="Calibri" w:cs="Calibri"/>
      <w:b/>
      <w:bCs/>
      <w:sz w:val="18"/>
      <w:szCs w:val="18"/>
    </w:rPr>
  </w:style>
  <w:style w:type="paragraph" w:customStyle="1" w:styleId="xl33">
    <w:name w:val="xl33"/>
    <w:basedOn w:val="Normal"/>
    <w:rsid w:val="008E3599"/>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18"/>
      <w:szCs w:val="18"/>
    </w:rPr>
  </w:style>
  <w:style w:type="paragraph" w:customStyle="1" w:styleId="xl34">
    <w:name w:val="xl34"/>
    <w:basedOn w:val="Normal"/>
    <w:rsid w:val="008E3599"/>
    <w:pPr>
      <w:spacing w:before="100" w:beforeAutospacing="1" w:after="100" w:afterAutospacing="1"/>
      <w:jc w:val="both"/>
    </w:pPr>
    <w:rPr>
      <w:rFonts w:ascii="Courier New" w:hAnsi="Courier New" w:cs="Courier New"/>
    </w:rPr>
  </w:style>
  <w:style w:type="paragraph" w:customStyle="1" w:styleId="xl35">
    <w:name w:val="xl35"/>
    <w:basedOn w:val="Normal"/>
    <w:rsid w:val="008E3599"/>
    <w:pPr>
      <w:pBdr>
        <w:top w:val="single" w:sz="4" w:space="0" w:color="auto"/>
        <w:left w:val="single" w:sz="4" w:space="0" w:color="auto"/>
        <w:right w:val="single" w:sz="4" w:space="0" w:color="auto"/>
      </w:pBdr>
      <w:spacing w:before="100" w:beforeAutospacing="1" w:after="100" w:afterAutospacing="1"/>
      <w:jc w:val="both"/>
    </w:pPr>
    <w:rPr>
      <w:rFonts w:ascii="Calibri" w:hAnsi="Calibri" w:cs="Calibri"/>
      <w:b/>
      <w:bCs/>
    </w:rPr>
  </w:style>
  <w:style w:type="paragraph" w:customStyle="1" w:styleId="xl36">
    <w:name w:val="xl36"/>
    <w:basedOn w:val="Normal"/>
    <w:rsid w:val="008E3599"/>
    <w:pPr>
      <w:pBdr>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rPr>
  </w:style>
  <w:style w:type="paragraph" w:customStyle="1" w:styleId="xl22">
    <w:name w:val="xl22"/>
    <w:basedOn w:val="Normal"/>
    <w:rsid w:val="008E3599"/>
    <w:pPr>
      <w:spacing w:before="100" w:beforeAutospacing="1" w:after="100" w:afterAutospacing="1"/>
      <w:jc w:val="both"/>
    </w:pPr>
    <w:rPr>
      <w:rFonts w:ascii="SutonnyMJ" w:hAnsi="SutonnyMJ" w:cs="SutonnyMJ"/>
      <w:sz w:val="28"/>
      <w:szCs w:val="28"/>
      <w:lang w:val="en-AU"/>
    </w:rPr>
  </w:style>
  <w:style w:type="paragraph" w:customStyle="1" w:styleId="148">
    <w:name w:val="148"/>
    <w:rsid w:val="008E3599"/>
    <w:rPr>
      <w:rFonts w:ascii="NikoshBAN" w:eastAsia="Calibri" w:hAnsi="NikoshBAN" w:cs="NikoshBAN"/>
    </w:rPr>
  </w:style>
  <w:style w:type="paragraph" w:customStyle="1" w:styleId="3">
    <w:name w:val="3"/>
    <w:rsid w:val="008E3599"/>
    <w:rPr>
      <w:rFonts w:ascii="NikoshBAN" w:eastAsia="Calibri" w:hAnsi="NikoshBAN" w:cs="NikoshBAN"/>
    </w:rPr>
  </w:style>
  <w:style w:type="paragraph" w:customStyle="1" w:styleId="38">
    <w:name w:val="38"/>
    <w:rsid w:val="008E3599"/>
    <w:rPr>
      <w:rFonts w:ascii="NikoshBAN" w:eastAsia="Calibri" w:hAnsi="NikoshBAN" w:cs="NikoshBAN"/>
    </w:rPr>
  </w:style>
  <w:style w:type="paragraph" w:customStyle="1" w:styleId="Figure">
    <w:name w:val="Figure"/>
    <w:basedOn w:val="Normal"/>
    <w:rsid w:val="008E3599"/>
    <w:pPr>
      <w:keepLines/>
      <w:spacing w:before="120"/>
      <w:jc w:val="center"/>
    </w:pPr>
    <w:rPr>
      <w:rFonts w:ascii="Charter BT" w:eastAsia="Calibri" w:hAnsi="Charter BT" w:cs="Charter BT"/>
      <w:kern w:val="18"/>
      <w:lang w:val="en-GB"/>
    </w:rPr>
  </w:style>
  <w:style w:type="paragraph" w:customStyle="1" w:styleId="147">
    <w:name w:val="147"/>
    <w:rsid w:val="008E3599"/>
    <w:rPr>
      <w:rFonts w:ascii="NikoshBAN" w:eastAsia="Calibri" w:hAnsi="NikoshBAN" w:cs="NikoshBAN"/>
    </w:rPr>
  </w:style>
  <w:style w:type="paragraph" w:customStyle="1" w:styleId="37">
    <w:name w:val="37"/>
    <w:rsid w:val="008E3599"/>
    <w:rPr>
      <w:rFonts w:ascii="NikoshBAN" w:eastAsia="Calibri" w:hAnsi="NikoshBAN" w:cs="NikoshBAN"/>
    </w:rPr>
  </w:style>
  <w:style w:type="paragraph" w:customStyle="1" w:styleId="36">
    <w:name w:val="36"/>
    <w:rsid w:val="008E3599"/>
    <w:rPr>
      <w:rFonts w:ascii="NikoshBAN" w:eastAsia="Calibri" w:hAnsi="NikoshBAN" w:cs="NikoshBAN"/>
    </w:rPr>
  </w:style>
  <w:style w:type="paragraph" w:customStyle="1" w:styleId="Caption1">
    <w:name w:val="Caption1"/>
    <w:basedOn w:val="Normal"/>
    <w:autoRedefine/>
    <w:rsid w:val="008E3599"/>
    <w:pPr>
      <w:spacing w:line="360" w:lineRule="auto"/>
      <w:ind w:right="-29"/>
      <w:jc w:val="center"/>
    </w:pPr>
    <w:rPr>
      <w:rFonts w:eastAsia="Calibri"/>
      <w:b/>
      <w:bCs/>
      <w:color w:val="000000"/>
      <w:sz w:val="20"/>
      <w:szCs w:val="20"/>
    </w:rPr>
  </w:style>
  <w:style w:type="paragraph" w:customStyle="1" w:styleId="292">
    <w:name w:val="292"/>
    <w:rsid w:val="008E3599"/>
    <w:rPr>
      <w:rFonts w:ascii="NikoshBAN" w:eastAsia="Calibri" w:hAnsi="NikoshBAN" w:cs="NikoshBAN"/>
    </w:rPr>
  </w:style>
  <w:style w:type="paragraph" w:customStyle="1" w:styleId="35">
    <w:name w:val="35"/>
    <w:rsid w:val="008E3599"/>
    <w:rPr>
      <w:rFonts w:ascii="NikoshBAN" w:eastAsia="Calibri" w:hAnsi="NikoshBAN" w:cs="NikoshBAN"/>
    </w:rPr>
  </w:style>
  <w:style w:type="paragraph" w:customStyle="1" w:styleId="34">
    <w:name w:val="34"/>
    <w:rsid w:val="008E3599"/>
    <w:rPr>
      <w:rFonts w:ascii="NikoshBAN" w:eastAsia="Calibri" w:hAnsi="NikoshBAN" w:cs="NikoshBAN"/>
    </w:rPr>
  </w:style>
  <w:style w:type="paragraph" w:customStyle="1" w:styleId="xl73">
    <w:name w:val="xl73"/>
    <w:basedOn w:val="Normal"/>
    <w:rsid w:val="008E3599"/>
    <w:pPr>
      <w:spacing w:before="100" w:beforeAutospacing="1" w:after="100" w:afterAutospacing="1"/>
      <w:jc w:val="both"/>
    </w:pPr>
    <w:rPr>
      <w:rFonts w:ascii="Arial" w:eastAsia="Calibri" w:hAnsi="Arial" w:cs="Arial"/>
      <w:sz w:val="20"/>
      <w:szCs w:val="20"/>
    </w:rPr>
  </w:style>
  <w:style w:type="paragraph" w:customStyle="1" w:styleId="xl74">
    <w:name w:val="xl74"/>
    <w:basedOn w:val="Normal"/>
    <w:rsid w:val="008E3599"/>
    <w:pPr>
      <w:spacing w:before="100" w:beforeAutospacing="1" w:after="100" w:afterAutospacing="1"/>
      <w:jc w:val="both"/>
    </w:pPr>
    <w:rPr>
      <w:rFonts w:ascii="Arial" w:eastAsia="Calibri" w:hAnsi="Arial" w:cs="Arial"/>
      <w:b/>
      <w:bCs/>
      <w:sz w:val="20"/>
      <w:szCs w:val="20"/>
    </w:rPr>
  </w:style>
  <w:style w:type="paragraph" w:customStyle="1" w:styleId="xl78">
    <w:name w:val="xl78"/>
    <w:basedOn w:val="Normal"/>
    <w:rsid w:val="008E3599"/>
    <w:pPr>
      <w:spacing w:before="100" w:beforeAutospacing="1" w:after="100" w:afterAutospacing="1"/>
      <w:jc w:val="center"/>
    </w:pPr>
    <w:rPr>
      <w:rFonts w:ascii="Arial" w:eastAsia="Calibri" w:hAnsi="Arial" w:cs="Arial"/>
      <w:sz w:val="20"/>
      <w:szCs w:val="20"/>
    </w:rPr>
  </w:style>
  <w:style w:type="paragraph" w:customStyle="1" w:styleId="Caption2">
    <w:name w:val="Caption2"/>
    <w:basedOn w:val="Caption1"/>
    <w:autoRedefine/>
    <w:rsid w:val="008E3599"/>
    <w:pPr>
      <w:jc w:val="left"/>
    </w:pPr>
    <w:rPr>
      <w:color w:val="auto"/>
    </w:rPr>
  </w:style>
  <w:style w:type="paragraph" w:customStyle="1" w:styleId="146">
    <w:name w:val="146"/>
    <w:rsid w:val="008E3599"/>
    <w:rPr>
      <w:rFonts w:ascii="NikoshBAN" w:eastAsia="Calibri" w:hAnsi="NikoshBAN" w:cs="NikoshBAN"/>
    </w:rPr>
  </w:style>
  <w:style w:type="paragraph" w:customStyle="1" w:styleId="33">
    <w:name w:val="33"/>
    <w:rsid w:val="008E3599"/>
    <w:rPr>
      <w:rFonts w:ascii="NikoshBAN" w:eastAsia="Calibri" w:hAnsi="NikoshBAN" w:cs="NikoshBAN"/>
    </w:rPr>
  </w:style>
  <w:style w:type="paragraph" w:customStyle="1" w:styleId="32">
    <w:name w:val="32"/>
    <w:rsid w:val="008E3599"/>
    <w:rPr>
      <w:rFonts w:ascii="NikoshBAN" w:eastAsia="Calibri" w:hAnsi="NikoshBAN" w:cs="NikoshBAN"/>
    </w:rPr>
  </w:style>
  <w:style w:type="paragraph" w:customStyle="1" w:styleId="LightShading-Accent11">
    <w:name w:val="Light Shading - Accent 11"/>
    <w:rsid w:val="008E3599"/>
    <w:rPr>
      <w:rFonts w:ascii="NikoshBAN" w:eastAsia="Calibri" w:hAnsi="NikoshBAN" w:cs="NikoshBAN"/>
    </w:rPr>
  </w:style>
  <w:style w:type="paragraph" w:customStyle="1" w:styleId="31">
    <w:name w:val="31"/>
    <w:rsid w:val="008E3599"/>
    <w:rPr>
      <w:rFonts w:ascii="Calibri" w:eastAsia="Calibri" w:hAnsi="Calibri" w:cs="Calibri"/>
    </w:rPr>
  </w:style>
  <w:style w:type="paragraph" w:customStyle="1" w:styleId="font5">
    <w:name w:val="font5"/>
    <w:basedOn w:val="Normal"/>
    <w:rsid w:val="008E3599"/>
    <w:pPr>
      <w:spacing w:before="100" w:beforeAutospacing="1" w:after="100" w:afterAutospacing="1"/>
    </w:pPr>
    <w:rPr>
      <w:rFonts w:ascii="Nikosh" w:eastAsia="Calibri" w:hAnsi="Nikosh" w:cs="Nikosh"/>
      <w:b/>
      <w:bCs/>
      <w:color w:val="0070C0"/>
      <w:sz w:val="20"/>
      <w:szCs w:val="20"/>
    </w:rPr>
  </w:style>
  <w:style w:type="paragraph" w:customStyle="1" w:styleId="font6">
    <w:name w:val="font6"/>
    <w:basedOn w:val="Normal"/>
    <w:rsid w:val="008E3599"/>
    <w:pPr>
      <w:spacing w:before="100" w:beforeAutospacing="1" w:after="100" w:afterAutospacing="1"/>
    </w:pPr>
    <w:rPr>
      <w:rFonts w:eastAsia="Calibri"/>
      <w:b/>
      <w:bCs/>
      <w:color w:val="0070C0"/>
      <w:sz w:val="20"/>
      <w:szCs w:val="20"/>
    </w:rPr>
  </w:style>
  <w:style w:type="paragraph" w:customStyle="1" w:styleId="font7">
    <w:name w:val="font7"/>
    <w:basedOn w:val="Normal"/>
    <w:rsid w:val="008E3599"/>
    <w:pPr>
      <w:spacing w:before="100" w:beforeAutospacing="1" w:after="100" w:afterAutospacing="1"/>
    </w:pPr>
    <w:rPr>
      <w:rFonts w:ascii="Nikosh" w:eastAsia="Calibri" w:hAnsi="Nikosh" w:cs="Nikosh"/>
      <w:b/>
      <w:bCs/>
      <w:color w:val="000000"/>
      <w:sz w:val="20"/>
      <w:szCs w:val="20"/>
    </w:rPr>
  </w:style>
  <w:style w:type="paragraph" w:customStyle="1" w:styleId="font8">
    <w:name w:val="font8"/>
    <w:basedOn w:val="Normal"/>
    <w:rsid w:val="008E3599"/>
    <w:pPr>
      <w:spacing w:before="100" w:beforeAutospacing="1" w:after="100" w:afterAutospacing="1"/>
    </w:pPr>
    <w:rPr>
      <w:rFonts w:ascii="Nikosh" w:eastAsia="Calibri" w:hAnsi="Nikosh" w:cs="Nikosh"/>
      <w:b/>
      <w:bCs/>
      <w:color w:val="000000"/>
      <w:sz w:val="18"/>
      <w:szCs w:val="18"/>
    </w:rPr>
  </w:style>
  <w:style w:type="paragraph" w:customStyle="1" w:styleId="font9">
    <w:name w:val="font9"/>
    <w:basedOn w:val="Normal"/>
    <w:rsid w:val="008E3599"/>
    <w:pPr>
      <w:spacing w:before="100" w:beforeAutospacing="1" w:after="100" w:afterAutospacing="1"/>
    </w:pPr>
    <w:rPr>
      <w:rFonts w:ascii="Nikosh" w:eastAsia="Calibri" w:hAnsi="Nikosh" w:cs="Nikosh"/>
      <w:b/>
      <w:bCs/>
      <w:color w:val="0070C0"/>
      <w:sz w:val="16"/>
      <w:szCs w:val="16"/>
    </w:rPr>
  </w:style>
  <w:style w:type="paragraph" w:customStyle="1" w:styleId="font10">
    <w:name w:val="font10"/>
    <w:basedOn w:val="Normal"/>
    <w:rsid w:val="008E3599"/>
    <w:pPr>
      <w:spacing w:before="100" w:beforeAutospacing="1" w:after="100" w:afterAutospacing="1"/>
    </w:pPr>
    <w:rPr>
      <w:rFonts w:eastAsia="Calibri"/>
      <w:b/>
      <w:bCs/>
      <w:color w:val="0070C0"/>
      <w:sz w:val="18"/>
      <w:szCs w:val="18"/>
    </w:rPr>
  </w:style>
  <w:style w:type="paragraph" w:customStyle="1" w:styleId="font11">
    <w:name w:val="font11"/>
    <w:basedOn w:val="Normal"/>
    <w:rsid w:val="008E3599"/>
    <w:pPr>
      <w:spacing w:before="100" w:beforeAutospacing="1" w:after="100" w:afterAutospacing="1"/>
    </w:pPr>
    <w:rPr>
      <w:rFonts w:ascii="Nikosh" w:eastAsia="Calibri" w:hAnsi="Nikosh" w:cs="Nikosh"/>
      <w:b/>
      <w:bCs/>
      <w:color w:val="000000"/>
      <w:sz w:val="16"/>
      <w:szCs w:val="16"/>
    </w:rPr>
  </w:style>
  <w:style w:type="paragraph" w:customStyle="1" w:styleId="font12">
    <w:name w:val="font12"/>
    <w:basedOn w:val="Normal"/>
    <w:rsid w:val="008E3599"/>
    <w:pPr>
      <w:spacing w:before="100" w:beforeAutospacing="1" w:after="100" w:afterAutospacing="1"/>
    </w:pPr>
    <w:rPr>
      <w:rFonts w:ascii="Nikosh" w:eastAsia="Calibri" w:hAnsi="Nikosh" w:cs="Nikosh"/>
      <w:b/>
      <w:bCs/>
      <w:color w:val="0070C0"/>
      <w:sz w:val="22"/>
      <w:szCs w:val="22"/>
    </w:rPr>
  </w:style>
  <w:style w:type="paragraph" w:customStyle="1" w:styleId="font13">
    <w:name w:val="font13"/>
    <w:basedOn w:val="Normal"/>
    <w:rsid w:val="008E3599"/>
    <w:pPr>
      <w:spacing w:before="100" w:beforeAutospacing="1" w:after="100" w:afterAutospacing="1"/>
    </w:pPr>
    <w:rPr>
      <w:rFonts w:ascii="Nikosh" w:eastAsia="Calibri" w:hAnsi="Nikosh" w:cs="Nikosh"/>
      <w:b/>
      <w:bCs/>
      <w:color w:val="0070C0"/>
      <w:sz w:val="18"/>
      <w:szCs w:val="18"/>
    </w:rPr>
  </w:style>
  <w:style w:type="paragraph" w:customStyle="1" w:styleId="font14">
    <w:name w:val="font14"/>
    <w:basedOn w:val="Normal"/>
    <w:rsid w:val="008E3599"/>
    <w:pPr>
      <w:spacing w:before="100" w:beforeAutospacing="1" w:after="100" w:afterAutospacing="1"/>
    </w:pPr>
    <w:rPr>
      <w:rFonts w:eastAsia="Calibri"/>
      <w:b/>
      <w:bCs/>
      <w:color w:val="0070C0"/>
      <w:sz w:val="22"/>
      <w:szCs w:val="22"/>
    </w:rPr>
  </w:style>
  <w:style w:type="paragraph" w:customStyle="1" w:styleId="xl63">
    <w:name w:val="xl63"/>
    <w:basedOn w:val="Normal"/>
    <w:rsid w:val="008E3599"/>
    <w:pPr>
      <w:pBdr>
        <w:top w:val="single" w:sz="4" w:space="0" w:color="auto"/>
        <w:left w:val="single" w:sz="4" w:space="0" w:color="auto"/>
        <w:bottom w:val="single" w:sz="4" w:space="0" w:color="auto"/>
        <w:right w:val="single" w:sz="4" w:space="0" w:color="auto"/>
      </w:pBdr>
      <w:shd w:val="clear" w:color="auto" w:fill="C0504D"/>
      <w:spacing w:before="100" w:beforeAutospacing="1" w:after="100" w:afterAutospacing="1"/>
    </w:pPr>
    <w:rPr>
      <w:rFonts w:ascii="Nikosh" w:eastAsia="Calibri" w:hAnsi="Nikosh" w:cs="Nikosh"/>
      <w:b/>
      <w:bCs/>
      <w:color w:val="FFFFFF"/>
      <w:sz w:val="20"/>
      <w:szCs w:val="20"/>
    </w:rPr>
  </w:style>
  <w:style w:type="paragraph" w:customStyle="1" w:styleId="xl64">
    <w:name w:val="xl64"/>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b/>
      <w:bCs/>
      <w:color w:val="0070C0"/>
      <w:sz w:val="20"/>
      <w:szCs w:val="20"/>
    </w:rPr>
  </w:style>
  <w:style w:type="paragraph" w:customStyle="1" w:styleId="xl65">
    <w:name w:val="xl65"/>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b/>
      <w:bCs/>
      <w:sz w:val="20"/>
      <w:szCs w:val="20"/>
    </w:rPr>
  </w:style>
  <w:style w:type="paragraph" w:customStyle="1" w:styleId="xl66">
    <w:name w:val="xl66"/>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18"/>
      <w:szCs w:val="18"/>
    </w:rPr>
  </w:style>
  <w:style w:type="paragraph" w:customStyle="1" w:styleId="xl67">
    <w:name w:val="xl67"/>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18"/>
      <w:szCs w:val="18"/>
    </w:rPr>
  </w:style>
  <w:style w:type="paragraph" w:customStyle="1" w:styleId="xl68">
    <w:name w:val="xl68"/>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69">
    <w:name w:val="xl69"/>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sz w:val="18"/>
      <w:szCs w:val="18"/>
    </w:rPr>
  </w:style>
  <w:style w:type="paragraph" w:customStyle="1" w:styleId="xl70">
    <w:name w:val="xl7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b/>
      <w:bCs/>
    </w:rPr>
  </w:style>
  <w:style w:type="paragraph" w:customStyle="1" w:styleId="xl71">
    <w:name w:val="xl71"/>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Nikosh" w:eastAsia="Calibri" w:hAnsi="Nikosh" w:cs="Nikosh"/>
      <w:b/>
      <w:bCs/>
      <w:color w:val="0070C0"/>
      <w:sz w:val="20"/>
      <w:szCs w:val="20"/>
    </w:rPr>
  </w:style>
  <w:style w:type="paragraph" w:customStyle="1" w:styleId="xl72">
    <w:name w:val="xl72"/>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16"/>
      <w:szCs w:val="16"/>
    </w:rPr>
  </w:style>
  <w:style w:type="paragraph" w:customStyle="1" w:styleId="xl75">
    <w:name w:val="xl75"/>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FF0000"/>
      <w:sz w:val="20"/>
      <w:szCs w:val="20"/>
    </w:rPr>
  </w:style>
  <w:style w:type="paragraph" w:customStyle="1" w:styleId="xl76">
    <w:name w:val="xl76"/>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color w:val="FF0000"/>
      <w:sz w:val="20"/>
      <w:szCs w:val="20"/>
    </w:rPr>
  </w:style>
  <w:style w:type="paragraph" w:customStyle="1" w:styleId="xl77">
    <w:name w:val="xl77"/>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70C0"/>
      <w:sz w:val="20"/>
      <w:szCs w:val="20"/>
    </w:rPr>
  </w:style>
  <w:style w:type="paragraph" w:customStyle="1" w:styleId="xl79">
    <w:name w:val="xl79"/>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color w:val="0070C0"/>
      <w:sz w:val="20"/>
      <w:szCs w:val="20"/>
    </w:rPr>
  </w:style>
  <w:style w:type="paragraph" w:customStyle="1" w:styleId="xl80">
    <w:name w:val="xl8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20"/>
      <w:szCs w:val="20"/>
    </w:rPr>
  </w:style>
  <w:style w:type="paragraph" w:customStyle="1" w:styleId="xl81">
    <w:name w:val="xl81"/>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20"/>
      <w:szCs w:val="20"/>
    </w:rPr>
  </w:style>
  <w:style w:type="paragraph" w:customStyle="1" w:styleId="xl82">
    <w:name w:val="xl82"/>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20"/>
      <w:szCs w:val="20"/>
    </w:rPr>
  </w:style>
  <w:style w:type="paragraph" w:customStyle="1" w:styleId="xl83">
    <w:name w:val="xl83"/>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20"/>
      <w:szCs w:val="20"/>
    </w:rPr>
  </w:style>
  <w:style w:type="paragraph" w:customStyle="1" w:styleId="xl84">
    <w:name w:val="xl84"/>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20"/>
      <w:szCs w:val="20"/>
    </w:rPr>
  </w:style>
  <w:style w:type="paragraph" w:customStyle="1" w:styleId="xl85">
    <w:name w:val="xl85"/>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20"/>
      <w:szCs w:val="20"/>
    </w:rPr>
  </w:style>
  <w:style w:type="paragraph" w:customStyle="1" w:styleId="xl86">
    <w:name w:val="xl86"/>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0000"/>
      <w:sz w:val="20"/>
      <w:szCs w:val="20"/>
    </w:rPr>
  </w:style>
  <w:style w:type="paragraph" w:customStyle="1" w:styleId="xl87">
    <w:name w:val="xl87"/>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70C0"/>
      <w:sz w:val="20"/>
      <w:szCs w:val="20"/>
    </w:rPr>
  </w:style>
  <w:style w:type="paragraph" w:customStyle="1" w:styleId="xl88">
    <w:name w:val="xl88"/>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Vrinda" w:eastAsia="Calibri" w:hAnsi="Vrinda" w:cs="Vrinda"/>
      <w:color w:val="0070C0"/>
      <w:sz w:val="20"/>
      <w:szCs w:val="20"/>
    </w:rPr>
  </w:style>
  <w:style w:type="paragraph" w:customStyle="1" w:styleId="xl89">
    <w:name w:val="xl89"/>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Nikosh" w:eastAsia="Calibri" w:hAnsi="Nikosh" w:cs="Nikosh"/>
      <w:color w:val="0070C0"/>
    </w:rPr>
  </w:style>
  <w:style w:type="paragraph" w:customStyle="1" w:styleId="xl90">
    <w:name w:val="xl9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70C0"/>
    </w:rPr>
  </w:style>
  <w:style w:type="paragraph" w:customStyle="1" w:styleId="xl91">
    <w:name w:val="xl91"/>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16"/>
      <w:szCs w:val="16"/>
    </w:rPr>
  </w:style>
  <w:style w:type="character" w:customStyle="1" w:styleId="ref-journal">
    <w:name w:val="ref-journal"/>
    <w:basedOn w:val="DefaultParagraphFont"/>
    <w:rsid w:val="008E3599"/>
    <w:rPr>
      <w:rFonts w:cs="Times New Roman"/>
    </w:rPr>
  </w:style>
  <w:style w:type="character" w:customStyle="1" w:styleId="ref-vol">
    <w:name w:val="ref-vol"/>
    <w:basedOn w:val="DefaultParagraphFont"/>
    <w:rsid w:val="008E3599"/>
    <w:rPr>
      <w:rFonts w:cs="Times New Roman"/>
    </w:rPr>
  </w:style>
  <w:style w:type="character" w:customStyle="1" w:styleId="nowrap">
    <w:name w:val="nowrap"/>
    <w:basedOn w:val="DefaultParagraphFont"/>
    <w:rsid w:val="008E3599"/>
    <w:rPr>
      <w:rFonts w:cs="Times New Roman"/>
    </w:rPr>
  </w:style>
  <w:style w:type="character" w:customStyle="1" w:styleId="element-citation">
    <w:name w:val="element-citation"/>
    <w:basedOn w:val="DefaultParagraphFont"/>
    <w:rsid w:val="008E3599"/>
    <w:rPr>
      <w:rFonts w:cs="Times New Roman"/>
    </w:rPr>
  </w:style>
  <w:style w:type="character" w:customStyle="1" w:styleId="mjx-char">
    <w:name w:val="mjx-char"/>
    <w:basedOn w:val="DefaultParagraphFont"/>
    <w:rsid w:val="008E3599"/>
    <w:rPr>
      <w:rFonts w:cs="Times New Roman"/>
    </w:rPr>
  </w:style>
  <w:style w:type="character" w:customStyle="1" w:styleId="nd-word">
    <w:name w:val="nd-word"/>
    <w:basedOn w:val="DefaultParagraphFont"/>
    <w:rsid w:val="008E3599"/>
    <w:rPr>
      <w:rFonts w:cs="Times New Roman"/>
    </w:rPr>
  </w:style>
  <w:style w:type="character" w:customStyle="1" w:styleId="box">
    <w:name w:val="box"/>
    <w:basedOn w:val="DefaultParagraphFont"/>
    <w:rsid w:val="008E3599"/>
    <w:rPr>
      <w:rFonts w:cs="Times New Roman"/>
    </w:rPr>
  </w:style>
  <w:style w:type="character" w:customStyle="1" w:styleId="code">
    <w:name w:val="code"/>
    <w:basedOn w:val="DefaultParagraphFont"/>
    <w:rsid w:val="008E3599"/>
    <w:rPr>
      <w:rFonts w:cs="Times New Roman"/>
    </w:rPr>
  </w:style>
  <w:style w:type="character" w:customStyle="1" w:styleId="muitypography-root">
    <w:name w:val="muitypography-root"/>
    <w:basedOn w:val="DefaultParagraphFont"/>
    <w:rsid w:val="008E3599"/>
    <w:rPr>
      <w:rFonts w:cs="Times New Roman"/>
    </w:rPr>
  </w:style>
  <w:style w:type="character" w:customStyle="1" w:styleId="CommentSubjectChar1">
    <w:name w:val="Comment Subject Char1"/>
    <w:basedOn w:val="CommentTextChar"/>
    <w:semiHidden/>
    <w:locked/>
    <w:rsid w:val="008E3599"/>
    <w:rPr>
      <w:rFonts w:cs="Times New Roman"/>
      <w:b/>
      <w:bCs/>
      <w:sz w:val="25"/>
      <w:szCs w:val="25"/>
    </w:rPr>
  </w:style>
  <w:style w:type="character" w:customStyle="1" w:styleId="yiv5083162645yshortcuts">
    <w:name w:val="yiv5083162645yshortcuts"/>
    <w:basedOn w:val="DefaultParagraphFont"/>
    <w:rsid w:val="008E3599"/>
    <w:rPr>
      <w:rFonts w:cs="Times New Roman"/>
    </w:rPr>
  </w:style>
  <w:style w:type="character" w:customStyle="1" w:styleId="FootnoteTextChar1">
    <w:name w:val="Footnote Text Char1"/>
    <w:basedOn w:val="DefaultParagraphFont"/>
    <w:link w:val="FootnoteText"/>
    <w:semiHidden/>
    <w:locked/>
    <w:rsid w:val="008E3599"/>
  </w:style>
  <w:style w:type="character" w:customStyle="1" w:styleId="bd1">
    <w:name w:val="bd1"/>
    <w:basedOn w:val="DefaultParagraphFont"/>
    <w:rsid w:val="008E3599"/>
    <w:rPr>
      <w:rFonts w:ascii="Verdana" w:hAnsi="Verdana" w:cs="Verdana"/>
      <w:sz w:val="13"/>
      <w:szCs w:val="13"/>
    </w:rPr>
  </w:style>
  <w:style w:type="character" w:customStyle="1" w:styleId="A6">
    <w:name w:val="A6"/>
    <w:rsid w:val="008E3599"/>
    <w:rPr>
      <w:color w:val="000000"/>
      <w:u w:val="single"/>
    </w:rPr>
  </w:style>
  <w:style w:type="character" w:customStyle="1" w:styleId="A9">
    <w:name w:val="A9"/>
    <w:rsid w:val="008E3599"/>
    <w:rPr>
      <w:rFonts w:ascii="Raleway" w:hAnsi="Raleway"/>
      <w:color w:val="000000"/>
      <w:sz w:val="12"/>
    </w:rPr>
  </w:style>
  <w:style w:type="character" w:customStyle="1" w:styleId="tlid-translation">
    <w:name w:val="tlid-translation"/>
    <w:basedOn w:val="DefaultParagraphFont"/>
    <w:rsid w:val="008E3599"/>
    <w:rPr>
      <w:rFonts w:cs="Times New Roman"/>
    </w:rPr>
  </w:style>
  <w:style w:type="character" w:customStyle="1" w:styleId="FooterChar31">
    <w:name w:val="Footer Char31"/>
    <w:aliases w:val="Char Char22,Char Char32,Char Char221"/>
    <w:locked/>
    <w:rsid w:val="008E3599"/>
    <w:rPr>
      <w:rFonts w:ascii="Times New Roman" w:hAnsi="Times New Roman"/>
      <w:sz w:val="24"/>
    </w:rPr>
  </w:style>
  <w:style w:type="character" w:customStyle="1" w:styleId="st">
    <w:name w:val="st"/>
    <w:rsid w:val="008E3599"/>
  </w:style>
  <w:style w:type="character" w:customStyle="1" w:styleId="FooterChar2">
    <w:name w:val="Footer Char2"/>
    <w:aliases w:val="Char Char11"/>
    <w:locked/>
    <w:rsid w:val="008E3599"/>
    <w:rPr>
      <w:rFonts w:ascii="Times New Roman" w:hAnsi="Times New Roman"/>
      <w:sz w:val="24"/>
    </w:rPr>
  </w:style>
  <w:style w:type="character" w:customStyle="1" w:styleId="CommentTextChar1">
    <w:name w:val="Comment Text Char1"/>
    <w:semiHidden/>
    <w:rsid w:val="008E3599"/>
    <w:rPr>
      <w:sz w:val="20"/>
    </w:rPr>
  </w:style>
  <w:style w:type="character" w:customStyle="1" w:styleId="hps">
    <w:name w:val="hps"/>
    <w:rsid w:val="008E3599"/>
  </w:style>
  <w:style w:type="character" w:customStyle="1" w:styleId="atn">
    <w:name w:val="atn"/>
    <w:rsid w:val="008E3599"/>
  </w:style>
  <w:style w:type="character" w:customStyle="1" w:styleId="Heading2Char1">
    <w:name w:val="Heading 2 Char1"/>
    <w:locked/>
    <w:rsid w:val="008E3599"/>
    <w:rPr>
      <w:rFonts w:ascii="Times New Roman" w:hAnsi="Times New Roman"/>
      <w:b/>
      <w:color w:val="0070C0"/>
      <w:sz w:val="32"/>
    </w:rPr>
  </w:style>
  <w:style w:type="character" w:customStyle="1" w:styleId="shorttext">
    <w:name w:val="short_text"/>
    <w:rsid w:val="008E3599"/>
  </w:style>
  <w:style w:type="table" w:styleId="TableSimple1">
    <w:name w:val="Table Simple 1"/>
    <w:basedOn w:val="TableNormal"/>
    <w:rsid w:val="008E3599"/>
    <w:pPr>
      <w:spacing w:after="200" w:line="276" w:lineRule="auto"/>
    </w:pPr>
    <w:rPr>
      <w:rFonts w:ascii="Calibri" w:hAnsi="Calibri" w:cs="Calibri"/>
    </w:rPr>
    <w:tblPr>
      <w:tblBorders>
        <w:top w:val="single" w:sz="12" w:space="0" w:color="008000"/>
        <w:bottom w:val="single" w:sz="12" w:space="0" w:color="008000"/>
      </w:tblBorders>
    </w:tblPr>
    <w:tblStylePr w:type="firstRow">
      <w:rPr>
        <w:rFonts w:cs="Calibri Light"/>
      </w:rPr>
      <w:tblPr/>
      <w:tcPr>
        <w:tcBorders>
          <w:bottom w:val="single" w:sz="6" w:space="0" w:color="008000"/>
          <w:tl2br w:val="none" w:sz="0" w:space="0" w:color="auto"/>
          <w:tr2bl w:val="none" w:sz="0" w:space="0" w:color="auto"/>
        </w:tcBorders>
      </w:tcPr>
    </w:tblStylePr>
    <w:tblStylePr w:type="lastRow">
      <w:rPr>
        <w:rFonts w:cs="Calibri Light"/>
      </w:rPr>
      <w:tblPr/>
      <w:tcPr>
        <w:tcBorders>
          <w:top w:val="single" w:sz="6" w:space="0" w:color="008000"/>
          <w:tl2br w:val="none" w:sz="0" w:space="0" w:color="auto"/>
          <w:tr2bl w:val="none" w:sz="0" w:space="0" w:color="auto"/>
        </w:tcBorders>
      </w:tcPr>
    </w:tblStylePr>
  </w:style>
  <w:style w:type="table" w:styleId="TableGrid5">
    <w:name w:val="Table Grid 5"/>
    <w:basedOn w:val="TableNormal"/>
    <w:rsid w:val="008E3599"/>
    <w:pPr>
      <w:spacing w:after="200" w:line="276" w:lineRule="auto"/>
    </w:pPr>
    <w:rPr>
      <w:rFonts w:ascii="Calibri" w:eastAsia="Calibri" w:hAnsi="Calibri" w:cs="Calibr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styleId="TableGrid8">
    <w:name w:val="Table Grid 8"/>
    <w:basedOn w:val="TableNormal"/>
    <w:rsid w:val="008E3599"/>
    <w:rPr>
      <w:rFonts w:ascii="Calibri" w:eastAsia="Calibri" w:hAnsi="Calibri" w:cs="Calibri"/>
      <w:b/>
      <w:bC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Vrinda" w:hAnsi="Vrinda" w:cs="Vrinda"/>
        <w:b/>
        <w:bCs/>
        <w:color w:val="FFFFFF"/>
      </w:rPr>
      <w:tblPr/>
      <w:tcPr>
        <w:tcBorders>
          <w:tl2br w:val="none" w:sz="0" w:space="0" w:color="auto"/>
          <w:tr2bl w:val="none" w:sz="0" w:space="0" w:color="auto"/>
        </w:tcBorders>
        <w:shd w:val="solid" w:color="000080" w:fill="FFFFFF"/>
      </w:tcPr>
    </w:tblStylePr>
    <w:tblStylePr w:type="lastRow">
      <w:rPr>
        <w:rFonts w:ascii="Vrinda" w:hAnsi="Vrinda" w:cs="Vrinda"/>
        <w:b/>
        <w:bCs/>
        <w:color w:val="auto"/>
      </w:rPr>
      <w:tblPr/>
      <w:tcPr>
        <w:tcBorders>
          <w:tl2br w:val="none" w:sz="0" w:space="0" w:color="auto"/>
          <w:tr2bl w:val="none" w:sz="0" w:space="0" w:color="auto"/>
        </w:tcBorders>
      </w:tcPr>
    </w:tblStylePr>
    <w:tblStylePr w:type="lastCol">
      <w:rPr>
        <w:rFonts w:ascii="Vrinda" w:hAnsi="Vrinda" w:cs="Vrinda"/>
        <w:b/>
        <w:bCs/>
        <w:color w:val="auto"/>
      </w:rPr>
      <w:tblPr/>
      <w:tcPr>
        <w:tcBorders>
          <w:tl2br w:val="none" w:sz="0" w:space="0" w:color="auto"/>
          <w:tr2bl w:val="none" w:sz="0" w:space="0" w:color="auto"/>
        </w:tcBorders>
      </w:tcPr>
    </w:tblStylePr>
  </w:style>
  <w:style w:type="table" w:styleId="TableWeb3">
    <w:name w:val="Table Web 3"/>
    <w:basedOn w:val="TableNormal"/>
    <w:rsid w:val="008E3599"/>
    <w:pPr>
      <w:spacing w:before="120" w:after="120" w:line="276" w:lineRule="auto"/>
      <w:jc w:val="both"/>
    </w:pPr>
    <w:rPr>
      <w:rFonts w:ascii="Calibri" w:eastAsia="Calibri" w:hAnsi="Calibri" w:cs="Calibr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LightShading1">
    <w:name w:val="Light Shading1"/>
    <w:rsid w:val="008E3599"/>
    <w:rPr>
      <w:rFonts w:ascii="Calibri" w:eastAsia="Calibri" w:hAnsi="Calibri" w:cs="Calibri"/>
      <w:color w:val="000000"/>
      <w:lang w:val="en-SG" w:eastAsia="en-SG" w:bidi="bn-BD"/>
    </w:rPr>
    <w:tblPr>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000000"/>
          <w:left w:val="nil"/>
          <w:bottom w:val="single" w:sz="8" w:space="0" w:color="000000"/>
          <w:right w:val="nil"/>
          <w:insideH w:val="nil"/>
          <w:insideV w:val="nil"/>
        </w:tcBorders>
      </w:tcPr>
    </w:tblStylePr>
    <w:tblStylePr w:type="firstCol">
      <w:rPr>
        <w:rFonts w:cs="Calibri Light"/>
        <w:b/>
        <w:bCs/>
      </w:rPr>
    </w:tblStylePr>
    <w:tblStylePr w:type="lastCol">
      <w:rPr>
        <w:rFonts w:cs="Calibri Light"/>
        <w:b/>
        <w:bCs/>
      </w:rPr>
    </w:tblStylePr>
  </w:style>
  <w:style w:type="table" w:customStyle="1" w:styleId="LightShading-Accent21">
    <w:name w:val="Light Shading - Accent 21"/>
    <w:rsid w:val="008E3599"/>
    <w:rPr>
      <w:rFonts w:ascii="Calibri" w:hAnsi="Calibri" w:cs="Calibri"/>
      <w:color w:val="943634"/>
      <w:lang w:val="en-SG" w:eastAsia="en-SG" w:bidi="bn-BD"/>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C0504D"/>
          <w:left w:val="nil"/>
          <w:bottom w:val="single" w:sz="8" w:space="0" w:color="C0504D"/>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EFD3D2"/>
      </w:tcPr>
    </w:tblStylePr>
    <w:tblStylePr w:type="band1Horz">
      <w:rPr>
        <w:rFonts w:cs="Calibri Light"/>
      </w:rPr>
      <w:tblPr/>
      <w:tcPr>
        <w:tcBorders>
          <w:left w:val="nil"/>
          <w:right w:val="nil"/>
          <w:insideH w:val="nil"/>
          <w:insideV w:val="nil"/>
        </w:tcBorders>
        <w:shd w:val="clear" w:color="auto" w:fill="EFD3D2"/>
      </w:tcPr>
    </w:tblStylePr>
  </w:style>
  <w:style w:type="table" w:customStyle="1" w:styleId="LightList-Accent21">
    <w:name w:val="Light List - Accent 21"/>
    <w:rsid w:val="008E3599"/>
    <w:rPr>
      <w:rFonts w:eastAsia="Calibri"/>
      <w:b/>
      <w:bCs/>
      <w:lang w:val="en-SG" w:eastAsia="en-SG" w:bidi="bn-BD"/>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shd w:val="clear" w:color="auto" w:fill="C0504D"/>
      </w:tcPr>
    </w:tblStylePr>
    <w:tblStylePr w:type="lastRow">
      <w:pPr>
        <w:spacing w:beforeLines="0" w:beforeAutospacing="0" w:afterLines="0" w:afterAutospacing="0"/>
      </w:pPr>
      <w:rPr>
        <w:rFonts w:ascii="Times New Roman" w:hAnsi="Times New Roman"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Times New Roman" w:hAnsi="Times New Roman" w:cs="Times New Roman"/>
        <w:b/>
        <w:bCs/>
      </w:rPr>
    </w:tblStylePr>
    <w:tblStylePr w:type="lastCol">
      <w:rPr>
        <w:rFonts w:ascii="Times New Roman" w:hAnsi="Times New Roman" w:cs="Times New Roman"/>
        <w:b/>
        <w:bCs/>
      </w:rPr>
    </w:tblStylePr>
    <w:tblStylePr w:type="band1Vert">
      <w:rPr>
        <w:rFonts w:ascii="Times New Roman" w:hAnsi="Times New Roman"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ascii="Times New Roman" w:hAnsi="Times New Roman"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Shading-Accent31">
    <w:name w:val="Light Shading - Accent 31"/>
    <w:rsid w:val="008E3599"/>
    <w:rPr>
      <w:rFonts w:ascii="Calibri" w:hAnsi="Calibri" w:cs="Calibri"/>
      <w:color w:val="76923C"/>
      <w:lang w:val="en-SG" w:eastAsia="en-SG" w:bidi="bn-BD"/>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9BBB59"/>
          <w:left w:val="nil"/>
          <w:bottom w:val="single" w:sz="8" w:space="0" w:color="9BBB59"/>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E6EED5"/>
      </w:tcPr>
    </w:tblStylePr>
    <w:tblStylePr w:type="band1Horz">
      <w:rPr>
        <w:rFonts w:cs="Calibri Light"/>
      </w:rPr>
      <w:tblPr/>
      <w:tcPr>
        <w:tcBorders>
          <w:left w:val="nil"/>
          <w:right w:val="nil"/>
          <w:insideH w:val="nil"/>
          <w:insideV w:val="nil"/>
        </w:tcBorders>
        <w:shd w:val="clear" w:color="auto" w:fill="E6EED5"/>
      </w:tcPr>
    </w:tblStylePr>
  </w:style>
  <w:style w:type="table" w:customStyle="1" w:styleId="LightList-Accent31">
    <w:name w:val="Light List - Accent 31"/>
    <w:rsid w:val="008E3599"/>
    <w:rPr>
      <w:rFonts w:ascii="Calibri" w:hAnsi="Calibri" w:cs="Calibri"/>
      <w:lang w:val="en-SG" w:eastAsia="en-SG" w:bidi="bn-BD"/>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cs="Calibri Light"/>
        <w:b/>
        <w:bCs/>
        <w:color w:val="FFFFFF"/>
      </w:rPr>
      <w:tblPr/>
      <w:tcPr>
        <w:shd w:val="clear" w:color="auto" w:fill="9BBB59"/>
      </w:tcPr>
    </w:tblStylePr>
    <w:tblStylePr w:type="lastRow">
      <w:pPr>
        <w:spacing w:beforeLines="0" w:beforeAutospacing="0" w:afterLines="0" w:afterAutospacing="0"/>
      </w:pPr>
      <w:rPr>
        <w:rFonts w:cs="Calibri Ligh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Light"/>
        <w:b/>
        <w:bCs/>
      </w:rPr>
    </w:tblStylePr>
    <w:tblStylePr w:type="lastCol">
      <w:rPr>
        <w:rFonts w:cs="Calibri Light"/>
        <w:b/>
        <w:bCs/>
      </w:rPr>
    </w:tblStylePr>
    <w:tblStylePr w:type="band1Vert">
      <w:rPr>
        <w:rFonts w:cs="Calibri Light"/>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Ligh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1-Accent31">
    <w:name w:val="Medium Shading 1 - Accent 31"/>
    <w:rsid w:val="008E3599"/>
    <w:rPr>
      <w:rFonts w:ascii="Calibri" w:hAnsi="Calibri" w:cs="Calibri"/>
      <w:lang w:val="en-SG" w:eastAsia="en-SG" w:bidi="bn-BD"/>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Lines="0" w:beforeAutospacing="0" w:afterLines="0" w:afterAutospacing="0"/>
      </w:pPr>
      <w:rPr>
        <w:rFonts w:cs="Calibri Light"/>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pPr>
      <w:rPr>
        <w:rFonts w:cs="Calibri Light"/>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shd w:val="clear" w:color="auto" w:fill="E6EED5"/>
      </w:tcPr>
    </w:tblStylePr>
    <w:tblStylePr w:type="band1Horz">
      <w:rPr>
        <w:rFonts w:cs="Calibri Light"/>
      </w:rPr>
      <w:tblPr/>
      <w:tcPr>
        <w:tcBorders>
          <w:insideH w:val="nil"/>
          <w:insideV w:val="nil"/>
        </w:tcBorders>
        <w:shd w:val="clear" w:color="auto" w:fill="E6EED5"/>
      </w:tcPr>
    </w:tblStylePr>
    <w:tblStylePr w:type="band2Horz">
      <w:rPr>
        <w:rFonts w:cs="Calibri Light"/>
      </w:rPr>
      <w:tblPr/>
      <w:tcPr>
        <w:tcBorders>
          <w:insideH w:val="nil"/>
          <w:insideV w:val="nil"/>
        </w:tcBorders>
      </w:tcPr>
    </w:tblStylePr>
  </w:style>
  <w:style w:type="table" w:customStyle="1" w:styleId="LightShading-Accent41">
    <w:name w:val="Light Shading - Accent 41"/>
    <w:rsid w:val="008E3599"/>
    <w:rPr>
      <w:rFonts w:ascii="Calibri" w:eastAsia="Calibri" w:hAnsi="Calibri" w:cs="Calibri"/>
      <w:b/>
      <w:bCs/>
      <w:color w:val="5F497A"/>
      <w:lang w:val="en-SG" w:eastAsia="en-SG" w:bidi="bn-BD"/>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pPr>
      <w:rPr>
        <w:rFonts w:ascii="Calibri Light" w:hAnsi="Calibri Light" w:cs="Calibri Light"/>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pPr>
      <w:rPr>
        <w:rFonts w:ascii="Calibri Light" w:hAnsi="Calibri Light" w:cs="Calibri Light"/>
        <w:b/>
        <w:bCs/>
      </w:rPr>
      <w:tblPr/>
      <w:tcPr>
        <w:tcBorders>
          <w:top w:val="single" w:sz="8" w:space="0" w:color="8064A2"/>
          <w:left w:val="nil"/>
          <w:bottom w:val="single" w:sz="8" w:space="0" w:color="8064A2"/>
          <w:right w:val="nil"/>
          <w:insideH w:val="nil"/>
          <w:insideV w:val="nil"/>
        </w:tcBorders>
      </w:tcPr>
    </w:tblStylePr>
    <w:tblStylePr w:type="firstCol">
      <w:rPr>
        <w:rFonts w:ascii="Calibri Light" w:hAnsi="Calibri Light" w:cs="Calibri Light"/>
        <w:b/>
        <w:bCs/>
      </w:rPr>
    </w:tblStylePr>
    <w:tblStylePr w:type="lastCol">
      <w:rPr>
        <w:rFonts w:ascii="Calibri Light" w:hAnsi="Calibri Light" w:cs="Calibri Light"/>
        <w:b/>
        <w:bCs/>
      </w:rPr>
    </w:tblStylePr>
    <w:tblStylePr w:type="band1Vert">
      <w:rPr>
        <w:rFonts w:ascii="Calibri Light" w:hAnsi="Calibri Light" w:cs="Calibri Light"/>
      </w:rPr>
      <w:tblPr/>
      <w:tcPr>
        <w:tcBorders>
          <w:left w:val="nil"/>
          <w:right w:val="nil"/>
          <w:insideH w:val="nil"/>
          <w:insideV w:val="nil"/>
        </w:tcBorders>
        <w:shd w:val="clear" w:color="auto" w:fill="DFD8E8"/>
      </w:tcPr>
    </w:tblStylePr>
    <w:tblStylePr w:type="band1Horz">
      <w:rPr>
        <w:rFonts w:ascii="Calibri Light" w:hAnsi="Calibri Light" w:cs="Calibri Light"/>
      </w:rPr>
      <w:tblPr/>
      <w:tcPr>
        <w:tcBorders>
          <w:left w:val="nil"/>
          <w:right w:val="nil"/>
          <w:insideH w:val="nil"/>
          <w:insideV w:val="nil"/>
        </w:tcBorders>
        <w:shd w:val="clear" w:color="auto" w:fill="DFD8E8"/>
      </w:tcPr>
    </w:tblStylePr>
  </w:style>
  <w:style w:type="table" w:customStyle="1" w:styleId="LightShading-Accent51">
    <w:name w:val="Light Shading - Accent 51"/>
    <w:rsid w:val="008E3599"/>
    <w:rPr>
      <w:rFonts w:ascii="Calibri" w:hAnsi="Calibri" w:cs="Calibri"/>
      <w:color w:val="31849B"/>
      <w:lang w:val="en-SG" w:eastAsia="en-SG" w:bidi="bn-BD"/>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4BACC6"/>
          <w:left w:val="nil"/>
          <w:bottom w:val="single" w:sz="8" w:space="0" w:color="4BACC6"/>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D2EAF1"/>
      </w:tcPr>
    </w:tblStylePr>
    <w:tblStylePr w:type="band1Horz">
      <w:rPr>
        <w:rFonts w:cs="Calibri Light"/>
      </w:rPr>
      <w:tblPr/>
      <w:tcPr>
        <w:tcBorders>
          <w:left w:val="nil"/>
          <w:right w:val="nil"/>
          <w:insideH w:val="nil"/>
          <w:insideV w:val="nil"/>
        </w:tcBorders>
        <w:shd w:val="clear" w:color="auto" w:fill="D2EAF1"/>
      </w:tcPr>
    </w:tblStylePr>
  </w:style>
  <w:style w:type="table" w:customStyle="1" w:styleId="MediumShading1-Accent51">
    <w:name w:val="Medium Shading 1 - Accent 51"/>
    <w:rsid w:val="008E3599"/>
    <w:rPr>
      <w:rFonts w:ascii="Calibri" w:hAnsi="Calibri" w:cs="Calibri"/>
      <w:lang w:val="en-SG" w:eastAsia="en-SG" w:bidi="bn-BD"/>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Autospacing="0" w:afterLines="0" w:afterAutospacing="0"/>
      </w:pPr>
      <w:rPr>
        <w:rFonts w:cs="Calibri Light"/>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pPr>
      <w:rPr>
        <w:rFonts w:cs="Calibri Light"/>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shd w:val="clear" w:color="auto" w:fill="D2EAF1"/>
      </w:tcPr>
    </w:tblStylePr>
    <w:tblStylePr w:type="band1Horz">
      <w:rPr>
        <w:rFonts w:cs="Calibri Light"/>
      </w:rPr>
      <w:tblPr/>
      <w:tcPr>
        <w:tcBorders>
          <w:insideH w:val="nil"/>
          <w:insideV w:val="nil"/>
        </w:tcBorders>
        <w:shd w:val="clear" w:color="auto" w:fill="D2EAF1"/>
      </w:tcPr>
    </w:tblStylePr>
    <w:tblStylePr w:type="band2Horz">
      <w:rPr>
        <w:rFonts w:cs="Calibri Light"/>
      </w:rPr>
      <w:tblPr/>
      <w:tcPr>
        <w:tcBorders>
          <w:insideH w:val="nil"/>
          <w:insideV w:val="nil"/>
        </w:tcBorders>
      </w:tcPr>
    </w:tblStylePr>
  </w:style>
  <w:style w:type="table" w:customStyle="1" w:styleId="LightShading-Accent61">
    <w:name w:val="Light Shading - Accent 61"/>
    <w:rsid w:val="008E3599"/>
    <w:rPr>
      <w:rFonts w:ascii="Calibri" w:hAnsi="Calibri" w:cs="Calibri"/>
      <w:color w:val="E36C0A"/>
      <w:lang w:val="en-SG" w:eastAsia="en-SG" w:bidi="bn-BD"/>
    </w:rPr>
    <w:tblPr>
      <w:tblStyleRowBandSize w:val="1"/>
      <w:tblStyleColBandSize w:val="1"/>
      <w:tblBorders>
        <w:top w:val="single" w:sz="8" w:space="0" w:color="F79646"/>
        <w:bottom w:val="single" w:sz="8" w:space="0" w:color="F79646"/>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F79646"/>
          <w:left w:val="nil"/>
          <w:bottom w:val="single" w:sz="8" w:space="0" w:color="F79646"/>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F79646"/>
          <w:left w:val="nil"/>
          <w:bottom w:val="single" w:sz="8" w:space="0" w:color="F79646"/>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FDE4D0"/>
      </w:tcPr>
    </w:tblStylePr>
    <w:tblStylePr w:type="band1Horz">
      <w:rPr>
        <w:rFonts w:cs="Calibri Light"/>
      </w:rPr>
      <w:tblPr/>
      <w:tcPr>
        <w:tcBorders>
          <w:left w:val="nil"/>
          <w:right w:val="nil"/>
          <w:insideH w:val="nil"/>
          <w:insideV w:val="nil"/>
        </w:tcBorders>
        <w:shd w:val="clear" w:color="auto" w:fill="FDE4D0"/>
      </w:tcPr>
    </w:tblStylePr>
  </w:style>
  <w:style w:type="table" w:customStyle="1" w:styleId="LightList-Accent61">
    <w:name w:val="Light List - Accent 61"/>
    <w:rsid w:val="008E3599"/>
    <w:rPr>
      <w:rFonts w:ascii="NikoshBAN" w:eastAsia="Calibri" w:hAnsi="NikoshBAN" w:cs="NikoshBAN"/>
      <w:lang w:val="en-SG" w:eastAsia="en-SG" w:bidi="bn-BD"/>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Lines="0" w:beforeAutospacing="0" w:afterLines="0" w:afterAutospacing="0"/>
      </w:pPr>
      <w:rPr>
        <w:rFonts w:ascii="Georgia" w:hAnsi="Georgia" w:cs="Georgia"/>
        <w:b/>
        <w:bCs/>
        <w:color w:val="FFFFFF"/>
      </w:rPr>
      <w:tblPr/>
      <w:tcPr>
        <w:shd w:val="clear" w:color="auto" w:fill="F79646"/>
      </w:tcPr>
    </w:tblStylePr>
    <w:tblStylePr w:type="lastRow">
      <w:pPr>
        <w:spacing w:beforeLines="0" w:beforeAutospacing="0" w:afterLines="0" w:afterAutospacing="0"/>
      </w:pPr>
      <w:rPr>
        <w:rFonts w:ascii="Georgia" w:hAnsi="Georgia" w:cs="Georgia"/>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ascii="Georgia" w:hAnsi="Georgia" w:cs="Georgia"/>
        <w:b/>
        <w:bCs/>
      </w:rPr>
    </w:tblStylePr>
    <w:tblStylePr w:type="lastCol">
      <w:rPr>
        <w:rFonts w:ascii="Georgia" w:hAnsi="Georgia" w:cs="Georgia"/>
        <w:b/>
        <w:bCs/>
      </w:rPr>
    </w:tblStylePr>
    <w:tblStylePr w:type="band1Vert">
      <w:rPr>
        <w:rFonts w:ascii="Georgia" w:hAnsi="Georgia" w:cs="Georgia"/>
      </w:rPr>
      <w:tblPr/>
      <w:tcPr>
        <w:tcBorders>
          <w:top w:val="single" w:sz="8" w:space="0" w:color="F79646"/>
          <w:left w:val="single" w:sz="8" w:space="0" w:color="F79646"/>
          <w:bottom w:val="single" w:sz="8" w:space="0" w:color="F79646"/>
          <w:right w:val="single" w:sz="8" w:space="0" w:color="F79646"/>
        </w:tcBorders>
      </w:tcPr>
    </w:tblStylePr>
    <w:tblStylePr w:type="band1Horz">
      <w:rPr>
        <w:rFonts w:ascii="Georgia" w:hAnsi="Georgia" w:cs="Georgia"/>
      </w:rPr>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1">
    <w:name w:val="Light Grid - Accent 61"/>
    <w:rsid w:val="008E3599"/>
    <w:rPr>
      <w:rFonts w:ascii="Calibri" w:eastAsia="Calibri" w:hAnsi="Calibri" w:cs="Calibri"/>
      <w:b/>
      <w:bCs/>
      <w:lang w:val="en-SG" w:eastAsia="en-SG" w:bidi="bn-BD"/>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pPr>
      <w:rPr>
        <w:rFonts w:ascii="Calibri Light" w:eastAsia="Times New Roman" w:hAnsi="Calibri Light" w:cs="Calibri Ligh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pPr>
      <w:rPr>
        <w:rFonts w:ascii="Calibri Light" w:eastAsia="Times New Roman" w:hAnsi="Calibri Light" w:cs="Calibri Ligh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Light"/>
        <w:b/>
        <w:bCs/>
      </w:rPr>
    </w:tblStylePr>
    <w:tblStylePr w:type="lastCol">
      <w:rPr>
        <w:rFonts w:ascii="Calibri Light" w:eastAsia="Times New Roman" w:hAnsi="Calibri Light" w:cs="Calibri Light"/>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ascii="Calibri Light" w:hAnsi="Calibri Light" w:cs="Calibri Light"/>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ascii="Calibri Light" w:hAnsi="Calibri Light" w:cs="Calibri Light"/>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ascii="Calibri Light" w:hAnsi="Calibri Light" w:cs="Calibri Light"/>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1-Accent61">
    <w:name w:val="Medium List 1 - Accent 61"/>
    <w:rsid w:val="008E3599"/>
    <w:rPr>
      <w:rFonts w:ascii="Calibri" w:hAnsi="Calibri" w:cs="Calibri"/>
      <w:color w:val="000000"/>
      <w:lang w:val="en-SG" w:eastAsia="en-SG" w:bidi="bn-BD"/>
    </w:rPr>
    <w:tblPr>
      <w:tblStyleRowBandSize w:val="1"/>
      <w:tblStyleColBandSize w:val="1"/>
      <w:tblBorders>
        <w:top w:val="single" w:sz="8" w:space="0" w:color="F79646"/>
        <w:bottom w:val="single" w:sz="8" w:space="0" w:color="F79646"/>
      </w:tblBorders>
      <w:tblCellMar>
        <w:top w:w="0" w:type="dxa"/>
        <w:left w:w="108" w:type="dxa"/>
        <w:bottom w:w="0" w:type="dxa"/>
        <w:right w:w="108" w:type="dxa"/>
      </w:tblCellMar>
    </w:tblPr>
    <w:tblStylePr w:type="firstRow">
      <w:rPr>
        <w:rFonts w:ascii="Calibri" w:eastAsia="Times New Roman" w:hAnsi="Calibri" w:cs="Calibri"/>
      </w:rPr>
      <w:tblPr/>
      <w:tcPr>
        <w:tcBorders>
          <w:top w:val="nil"/>
          <w:bottom w:val="single" w:sz="8" w:space="0" w:color="F79646"/>
        </w:tcBorders>
      </w:tcPr>
    </w:tblStylePr>
    <w:tblStylePr w:type="lastRow">
      <w:rPr>
        <w:rFonts w:cs="Calibri Light"/>
        <w:b/>
        <w:bCs/>
        <w:color w:val="1F497D"/>
      </w:rPr>
      <w:tblPr/>
      <w:tcPr>
        <w:tcBorders>
          <w:top w:val="single" w:sz="8" w:space="0" w:color="F79646"/>
          <w:bottom w:val="single" w:sz="8" w:space="0" w:color="F79646"/>
        </w:tcBorders>
      </w:tcPr>
    </w:tblStylePr>
    <w:tblStylePr w:type="firstCol">
      <w:rPr>
        <w:rFonts w:cs="Calibri Light"/>
        <w:b/>
        <w:bCs/>
      </w:rPr>
    </w:tblStylePr>
    <w:tblStylePr w:type="lastCol">
      <w:rPr>
        <w:rFonts w:cs="Calibri Light"/>
        <w:b/>
        <w:bCs/>
      </w:rPr>
      <w:tblPr/>
      <w:tcPr>
        <w:tcBorders>
          <w:top w:val="single" w:sz="8" w:space="0" w:color="F79646"/>
          <w:bottom w:val="single" w:sz="8" w:space="0" w:color="F79646"/>
        </w:tcBorders>
      </w:tcPr>
    </w:tblStylePr>
    <w:tblStylePr w:type="band1Vert">
      <w:rPr>
        <w:rFonts w:cs="Calibri Light"/>
      </w:rPr>
      <w:tblPr/>
      <w:tcPr>
        <w:shd w:val="clear" w:color="auto" w:fill="FDE4D0"/>
      </w:tcPr>
    </w:tblStylePr>
    <w:tblStylePr w:type="band1Horz">
      <w:rPr>
        <w:rFonts w:cs="Calibri Light"/>
      </w:rPr>
      <w:tblPr/>
      <w:tcPr>
        <w:shd w:val="clear" w:color="auto" w:fill="FDE4D0"/>
      </w:tcPr>
    </w:tblStylePr>
  </w:style>
  <w:style w:type="table" w:customStyle="1" w:styleId="ListTable6Colorful1">
    <w:name w:val="List Table 6 Colorful1"/>
    <w:rsid w:val="008E3599"/>
    <w:rPr>
      <w:rFonts w:ascii="Calibri" w:hAnsi="Calibri" w:cs="Calibri"/>
      <w:color w:val="000000"/>
    </w:rPr>
    <w:tblPr>
      <w:tblStyleRowBandSize w:val="1"/>
      <w:tblStyleColBandSize w:val="1"/>
      <w:tblBorders>
        <w:top w:val="single" w:sz="4" w:space="0" w:color="000000"/>
        <w:bottom w:val="single" w:sz="4" w:space="0" w:color="000000"/>
      </w:tblBorders>
      <w:tblCellMar>
        <w:top w:w="0" w:type="dxa"/>
        <w:left w:w="108" w:type="dxa"/>
        <w:bottom w:w="0" w:type="dxa"/>
        <w:right w:w="108" w:type="dxa"/>
      </w:tblCellMar>
    </w:tblPr>
  </w:style>
  <w:style w:type="table" w:customStyle="1" w:styleId="LightShading10">
    <w:name w:val="Light Shading1"/>
    <w:rsid w:val="008E3599"/>
    <w:rPr>
      <w:rFonts w:ascii="Calibri" w:hAnsi="Calibri" w:cs="Calibri"/>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14">
    <w:name w:val="14"/>
    <w:rsid w:val="008E3599"/>
    <w:pPr>
      <w:widowControl w:val="0"/>
      <w:autoSpaceDE w:val="0"/>
      <w:autoSpaceDN w:val="0"/>
      <w:adjustRightInd w:val="0"/>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145"/>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Grid1">
    <w:name w:val="Light Grid1"/>
    <w:rsid w:val="008E3599"/>
    <w:rPr>
      <w:rFonts w:ascii="Calibri" w:eastAsia="Calibri" w:hAnsi="Calibri" w:cs="Calibri"/>
      <w:b/>
      <w:bC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List1">
    <w:name w:val="Light List1"/>
    <w:rsid w:val="008E3599"/>
    <w:rPr>
      <w:rFonts w:ascii="Calibri" w:eastAsia="Calibri" w:hAnsi="Calibri" w:cs="Calibri"/>
      <w:b/>
      <w:bCs/>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9">
    <w:name w:val="29"/>
    <w:rsid w:val="008E3599"/>
    <w:pPr>
      <w:widowControl w:val="0"/>
      <w:autoSpaceDE w:val="0"/>
      <w:autoSpaceDN w:val="0"/>
      <w:adjustRightInd w:val="0"/>
    </w:pPr>
    <w:rPr>
      <w:rFonts w:eastAsia="Calibri"/>
      <w:sz w:val="24"/>
      <w:szCs w:val="24"/>
    </w:rPr>
    <w:tblPr>
      <w:tblBorders>
        <w:top w:val="single" w:sz="12" w:space="0" w:color="008000"/>
        <w:bottom w:val="single" w:sz="12" w:space="0" w:color="008000"/>
      </w:tblBorders>
      <w:tblCellMar>
        <w:top w:w="0" w:type="dxa"/>
        <w:left w:w="14" w:type="dxa"/>
        <w:bottom w:w="0" w:type="dxa"/>
        <w:right w:w="14" w:type="dxa"/>
      </w:tblCellMar>
    </w:tblPr>
  </w:style>
  <w:style w:type="table" w:customStyle="1" w:styleId="144">
    <w:name w:val="144"/>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143">
    <w:name w:val="143"/>
    <w:rsid w:val="008E3599"/>
    <w:pPr>
      <w:widowControl w:val="0"/>
      <w:autoSpaceDE w:val="0"/>
      <w:autoSpaceDN w:val="0"/>
      <w:adjustRightInd w:val="0"/>
    </w:pPr>
    <w:rPr>
      <w:rFonts w:eastAsia="Calibri"/>
      <w:sz w:val="24"/>
      <w:szCs w:val="24"/>
    </w:rPr>
    <w:tblPr>
      <w:tblBorders>
        <w:top w:val="single" w:sz="8" w:space="0" w:color="008000"/>
        <w:bottom w:val="single" w:sz="8" w:space="0" w:color="008000"/>
      </w:tblBorders>
      <w:tblCellMar>
        <w:top w:w="0" w:type="dxa"/>
        <w:left w:w="108" w:type="dxa"/>
        <w:bottom w:w="0" w:type="dxa"/>
        <w:right w:w="108" w:type="dxa"/>
      </w:tblCellMar>
    </w:tblPr>
  </w:style>
  <w:style w:type="table" w:customStyle="1" w:styleId="LightList-Accent22">
    <w:name w:val="Light List - Accent 22"/>
    <w:rsid w:val="008E3599"/>
    <w:rPr>
      <w:rFonts w:eastAsia="Calibri"/>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Shading-Accent42">
    <w:name w:val="Light Shading - Accent 42"/>
    <w:rsid w:val="008E3599"/>
    <w:rPr>
      <w:rFonts w:ascii="Calibri" w:eastAsia="Calibri" w:hAnsi="Calibri" w:cs="Calibri"/>
      <w:color w:val="5F497A"/>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62">
    <w:name w:val="Light Grid - Accent 62"/>
    <w:rsid w:val="008E3599"/>
    <w:rPr>
      <w:rFonts w:ascii="Calibri" w:eastAsia="Calibri" w:hAnsi="Calibri" w:cs="Calibri"/>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42">
    <w:name w:val="142"/>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291">
    <w:name w:val="291"/>
    <w:rsid w:val="008E3599"/>
    <w:pPr>
      <w:widowControl w:val="0"/>
      <w:autoSpaceDE w:val="0"/>
      <w:autoSpaceDN w:val="0"/>
      <w:adjustRightInd w:val="0"/>
    </w:pPr>
    <w:rPr>
      <w:rFonts w:eastAsia="Calibri"/>
      <w:sz w:val="24"/>
      <w:szCs w:val="24"/>
    </w:rPr>
    <w:tblPr>
      <w:tblBorders>
        <w:top w:val="single" w:sz="12" w:space="0" w:color="008000"/>
        <w:bottom w:val="single" w:sz="12" w:space="0" w:color="008000"/>
      </w:tblBorders>
      <w:tblCellMar>
        <w:top w:w="0" w:type="dxa"/>
        <w:left w:w="14" w:type="dxa"/>
        <w:bottom w:w="0" w:type="dxa"/>
        <w:right w:w="14" w:type="dxa"/>
      </w:tblCellMar>
    </w:tblPr>
  </w:style>
  <w:style w:type="table" w:customStyle="1" w:styleId="141">
    <w:name w:val="141"/>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List-Accent23">
    <w:name w:val="Light List - Accent 23"/>
    <w:rsid w:val="008E3599"/>
    <w:rPr>
      <w:rFonts w:eastAsia="Calibri"/>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Shading-Accent43">
    <w:name w:val="Light Shading - Accent 43"/>
    <w:rsid w:val="008E3599"/>
    <w:rPr>
      <w:rFonts w:ascii="Calibri" w:eastAsia="Calibri" w:hAnsi="Calibri" w:cs="Calibri"/>
      <w:color w:val="5F497A"/>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63">
    <w:name w:val="Light Grid - Accent 63"/>
    <w:rsid w:val="008E3599"/>
    <w:rPr>
      <w:rFonts w:ascii="Calibri" w:eastAsia="Calibri" w:hAnsi="Calibri" w:cs="Calibri"/>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LightShading2">
    <w:name w:val="Light Shading2"/>
    <w:rsid w:val="008E3599"/>
    <w:rPr>
      <w:rFonts w:ascii="Calibri" w:eastAsia="Calibri" w:hAnsi="Calibri"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LightList-Accent231">
    <w:name w:val="Light List - Accent 231"/>
    <w:rsid w:val="008E3599"/>
    <w:rPr>
      <w:rFonts w:eastAsia="Calibri"/>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List-Accent611">
    <w:name w:val="Light List - Accent 611"/>
    <w:rsid w:val="008E3599"/>
    <w:rPr>
      <w:rFonts w:ascii="NikoshBAN" w:eastAsia="Calibri" w:hAnsi="NikoshBAN" w:cs="NikoshBAN"/>
      <w:b/>
      <w:bCs/>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Shading-Accent431">
    <w:name w:val="Light Shading - Accent 431"/>
    <w:rsid w:val="008E3599"/>
    <w:rPr>
      <w:rFonts w:ascii="Calibri" w:eastAsia="Calibri" w:hAnsi="Calibri" w:cs="Calibri"/>
      <w:color w:val="5F497A"/>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631">
    <w:name w:val="Light Grid - Accent 631"/>
    <w:rsid w:val="008E3599"/>
    <w:rPr>
      <w:rFonts w:ascii="Calibri" w:eastAsia="Calibri" w:hAnsi="Calibri" w:cs="Calibri"/>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LightShading-Accent211">
    <w:name w:val="Light Shading - Accent 211"/>
    <w:rsid w:val="008E3599"/>
    <w:rPr>
      <w:rFonts w:ascii="Calibri" w:eastAsia="Calibri" w:hAnsi="Calibri" w:cs="Calibri"/>
      <w:color w:val="943634"/>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1">
    <w:name w:val="Light Shading - Accent 511"/>
    <w:rsid w:val="008E3599"/>
    <w:rPr>
      <w:rFonts w:ascii="Calibri" w:eastAsia="Calibri" w:hAnsi="Calibri" w:cs="Calibri"/>
      <w:color w:val="31849B"/>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1">
    <w:name w:val="Light Shading - Accent 311"/>
    <w:rsid w:val="008E3599"/>
    <w:rPr>
      <w:rFonts w:ascii="Calibri" w:eastAsia="Calibri" w:hAnsi="Calibri" w:cs="Calibri"/>
      <w:b/>
      <w:bCs/>
      <w:color w:val="76923C"/>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character" w:customStyle="1" w:styleId="BalloonTextChar2">
    <w:name w:val="Balloon Text Char2"/>
    <w:basedOn w:val="DefaultParagraphFont"/>
    <w:semiHidden/>
    <w:locked/>
    <w:rsid w:val="008E3599"/>
    <w:rPr>
      <w:rFonts w:ascii="Tahoma" w:hAnsi="Tahoma" w:cs="Tahoma"/>
      <w:sz w:val="16"/>
      <w:szCs w:val="16"/>
    </w:rPr>
  </w:style>
  <w:style w:type="paragraph" w:customStyle="1" w:styleId="TableParagraph">
    <w:name w:val="Table Paragraph"/>
    <w:basedOn w:val="Normal"/>
    <w:uiPriority w:val="1"/>
    <w:qFormat/>
    <w:rsid w:val="004713EA"/>
    <w:pPr>
      <w:widowControl w:val="0"/>
      <w:autoSpaceDE w:val="0"/>
      <w:autoSpaceDN w:val="0"/>
    </w:pPr>
    <w:rPr>
      <w:sz w:val="22"/>
      <w:szCs w:val="22"/>
    </w:rPr>
  </w:style>
  <w:style w:type="paragraph" w:customStyle="1" w:styleId="first-para">
    <w:name w:val="first-para"/>
    <w:basedOn w:val="Normal"/>
    <w:uiPriority w:val="99"/>
    <w:rsid w:val="00CC2E72"/>
    <w:pPr>
      <w:spacing w:before="100" w:beforeAutospacing="1" w:after="100" w:afterAutospacing="1"/>
    </w:pPr>
  </w:style>
  <w:style w:type="character" w:customStyle="1" w:styleId="MTEquationSection">
    <w:name w:val="MTEquationSection"/>
    <w:basedOn w:val="DefaultParagraphFont"/>
    <w:rsid w:val="00CC2E72"/>
    <w:rPr>
      <w:rFonts w:ascii="Times New Roman" w:hAnsi="Times New Roman" w:cs="Times New Roman"/>
      <w:b/>
      <w:bCs/>
      <w:vanish/>
      <w:color w:val="FF0000"/>
      <w:sz w:val="28"/>
      <w:szCs w:val="28"/>
    </w:rPr>
  </w:style>
  <w:style w:type="character" w:customStyle="1" w:styleId="MTConvertedEquation">
    <w:name w:val="MTConvertedEquation"/>
    <w:basedOn w:val="DefaultParagraphFont"/>
    <w:rsid w:val="00CC2E72"/>
    <w:rPr>
      <w:rFonts w:ascii="Times New Roman" w:hAnsi="Times New Roman" w:cs="Times New Roman"/>
      <w:sz w:val="24"/>
      <w:szCs w:val="24"/>
    </w:rPr>
  </w:style>
  <w:style w:type="character" w:styleId="HTMLCode">
    <w:name w:val="HTML Code"/>
    <w:basedOn w:val="DefaultParagraphFont"/>
    <w:uiPriority w:val="99"/>
    <w:unhideWhenUsed/>
    <w:rsid w:val="00CC2E72"/>
    <w:rPr>
      <w:rFonts w:ascii="Courier New" w:eastAsia="Times New Roman" w:hAnsi="Courier New" w:cs="Courier New"/>
      <w:sz w:val="20"/>
      <w:szCs w:val="20"/>
    </w:rPr>
  </w:style>
  <w:style w:type="character" w:customStyle="1" w:styleId="UnresolvedMention2">
    <w:name w:val="Unresolved Mention2"/>
    <w:basedOn w:val="DefaultParagraphFont"/>
    <w:uiPriority w:val="99"/>
    <w:semiHidden/>
    <w:unhideWhenUsed/>
    <w:rsid w:val="00CC2E72"/>
    <w:rPr>
      <w:color w:val="605E5C"/>
      <w:shd w:val="clear" w:color="auto" w:fill="E1DFDD"/>
    </w:rPr>
  </w:style>
  <w:style w:type="character" w:customStyle="1" w:styleId="hlfld-contribauthor">
    <w:name w:val="hlfld-contribauthor"/>
    <w:basedOn w:val="DefaultParagraphFont"/>
    <w:rsid w:val="00AC143F"/>
  </w:style>
  <w:style w:type="character" w:customStyle="1" w:styleId="nlmgiven-names">
    <w:name w:val="nlm_given-names"/>
    <w:basedOn w:val="DefaultParagraphFont"/>
    <w:rsid w:val="00AC143F"/>
  </w:style>
  <w:style w:type="character" w:customStyle="1" w:styleId="nlmarticle-title">
    <w:name w:val="nlm_article-title"/>
    <w:basedOn w:val="DefaultParagraphFont"/>
    <w:rsid w:val="00AC143F"/>
  </w:style>
  <w:style w:type="character" w:customStyle="1" w:styleId="nlmyear">
    <w:name w:val="nlm_year"/>
    <w:basedOn w:val="DefaultParagraphFont"/>
    <w:rsid w:val="00AC143F"/>
  </w:style>
  <w:style w:type="character" w:customStyle="1" w:styleId="nlmfpage">
    <w:name w:val="nlm_fpage"/>
    <w:basedOn w:val="DefaultParagraphFont"/>
    <w:rsid w:val="00AC143F"/>
  </w:style>
  <w:style w:type="character" w:customStyle="1" w:styleId="nlmlpage">
    <w:name w:val="nlm_lpage"/>
    <w:basedOn w:val="DefaultParagraphFont"/>
    <w:rsid w:val="00AC143F"/>
  </w:style>
  <w:style w:type="character" w:customStyle="1" w:styleId="UnresolvedMention3">
    <w:name w:val="Unresolved Mention3"/>
    <w:basedOn w:val="DefaultParagraphFont"/>
    <w:uiPriority w:val="99"/>
    <w:semiHidden/>
    <w:unhideWhenUsed/>
    <w:rsid w:val="0079299B"/>
    <w:rPr>
      <w:color w:val="605E5C"/>
      <w:shd w:val="clear" w:color="auto" w:fill="E1DFDD"/>
    </w:rPr>
  </w:style>
  <w:style w:type="table" w:customStyle="1" w:styleId="TableGrid0">
    <w:name w:val="TableGrid"/>
    <w:rsid w:val="005821DF"/>
    <w:rPr>
      <w:rFonts w:asciiTheme="minorHAnsi" w:eastAsiaTheme="minorEastAsia" w:hAnsiTheme="minorHAnsi" w:cstheme="minorBidi"/>
      <w:sz w:val="22"/>
      <w:szCs w:val="28"/>
      <w:lang w:val="en-GB" w:eastAsia="en-GB" w:bidi="bn-BD"/>
    </w:rPr>
    <w:tblPr>
      <w:tblCellMar>
        <w:top w:w="0" w:type="dxa"/>
        <w:left w:w="0" w:type="dxa"/>
        <w:bottom w:w="0" w:type="dxa"/>
        <w:right w:w="0" w:type="dxa"/>
      </w:tblCellMar>
    </w:tblPr>
  </w:style>
  <w:style w:type="character" w:customStyle="1" w:styleId="gnd-iwgdh3b">
    <w:name w:val="gnd-iwgdh3b"/>
    <w:basedOn w:val="DefaultParagraphFont"/>
    <w:rsid w:val="005821DF"/>
  </w:style>
  <w:style w:type="paragraph" w:styleId="Bibliography">
    <w:name w:val="Bibliography"/>
    <w:basedOn w:val="Normal"/>
    <w:next w:val="Normal"/>
    <w:uiPriority w:val="37"/>
    <w:unhideWhenUsed/>
    <w:rsid w:val="005821DF"/>
    <w:pPr>
      <w:spacing w:after="200" w:line="276" w:lineRule="auto"/>
    </w:pPr>
    <w:rPr>
      <w:rFonts w:asciiTheme="minorHAnsi" w:eastAsiaTheme="minorHAnsi" w:hAnsiTheme="minorHAnsi" w:cstheme="minorBidi"/>
      <w:sz w:val="22"/>
      <w:szCs w:val="28"/>
      <w:lang w:val="en-GB" w:bidi="bn-BD"/>
    </w:rPr>
  </w:style>
  <w:style w:type="character" w:customStyle="1" w:styleId="go">
    <w:name w:val="go"/>
    <w:basedOn w:val="DefaultParagraphFont"/>
    <w:rsid w:val="0038074B"/>
  </w:style>
  <w:style w:type="table" w:styleId="PlainTable1">
    <w:name w:val="Plain Table 1"/>
    <w:basedOn w:val="TableNormal"/>
    <w:uiPriority w:val="41"/>
    <w:rsid w:val="00191ABF"/>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191ABF"/>
    <w:rPr>
      <w:color w:val="605E5C"/>
      <w:shd w:val="clear" w:color="auto" w:fill="E1DFDD"/>
    </w:rPr>
  </w:style>
  <w:style w:type="character" w:customStyle="1" w:styleId="katex-mathml">
    <w:name w:val="katex-mathml"/>
    <w:basedOn w:val="DefaultParagraphFont"/>
    <w:rsid w:val="00191ABF"/>
  </w:style>
  <w:style w:type="character" w:customStyle="1" w:styleId="mord">
    <w:name w:val="mord"/>
    <w:basedOn w:val="DefaultParagraphFont"/>
    <w:rsid w:val="00191ABF"/>
  </w:style>
  <w:style w:type="character" w:customStyle="1" w:styleId="mbin">
    <w:name w:val="mbin"/>
    <w:basedOn w:val="DefaultParagraphFont"/>
    <w:rsid w:val="00191ABF"/>
  </w:style>
  <w:style w:type="character" w:customStyle="1" w:styleId="vlist-s">
    <w:name w:val="vlist-s"/>
    <w:basedOn w:val="DefaultParagraphFont"/>
    <w:rsid w:val="00191ABF"/>
  </w:style>
  <w:style w:type="character" w:customStyle="1" w:styleId="mopen">
    <w:name w:val="mopen"/>
    <w:basedOn w:val="DefaultParagraphFont"/>
    <w:rsid w:val="00191ABF"/>
  </w:style>
  <w:style w:type="character" w:customStyle="1" w:styleId="mclose">
    <w:name w:val="mclose"/>
    <w:basedOn w:val="DefaultParagraphFont"/>
    <w:rsid w:val="00191ABF"/>
  </w:style>
  <w:style w:type="character" w:customStyle="1" w:styleId="react-xocs-alternative-link">
    <w:name w:val="react-xocs-alternative-link"/>
    <w:basedOn w:val="DefaultParagraphFont"/>
    <w:rsid w:val="00191ABF"/>
  </w:style>
  <w:style w:type="character" w:customStyle="1" w:styleId="sr-only">
    <w:name w:val="sr-only"/>
    <w:basedOn w:val="DefaultParagraphFont"/>
    <w:rsid w:val="00191ABF"/>
  </w:style>
  <w:style w:type="character" w:styleId="IntenseReference">
    <w:name w:val="Intense Reference"/>
    <w:basedOn w:val="DefaultParagraphFont"/>
    <w:uiPriority w:val="32"/>
    <w:qFormat/>
    <w:rsid w:val="00191ABF"/>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686484">
      <w:bodyDiv w:val="1"/>
      <w:marLeft w:val="0"/>
      <w:marRight w:val="0"/>
      <w:marTop w:val="0"/>
      <w:marBottom w:val="0"/>
      <w:divBdr>
        <w:top w:val="none" w:sz="0" w:space="0" w:color="auto"/>
        <w:left w:val="none" w:sz="0" w:space="0" w:color="auto"/>
        <w:bottom w:val="none" w:sz="0" w:space="0" w:color="auto"/>
        <w:right w:val="none" w:sz="0" w:space="0" w:color="auto"/>
      </w:divBdr>
    </w:div>
    <w:div w:id="204100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E3ED1B8C5D4E5F964ED93C36DBD2A2"/>
        <w:category>
          <w:name w:val="General"/>
          <w:gallery w:val="placeholder"/>
        </w:category>
        <w:types>
          <w:type w:val="bbPlcHdr"/>
        </w:types>
        <w:behaviors>
          <w:behavior w:val="content"/>
        </w:behaviors>
        <w:guid w:val="{9EEE42F7-0E83-4890-A65A-79C7E90D50F4}"/>
      </w:docPartPr>
      <w:docPartBody>
        <w:p w:rsidR="00A83385" w:rsidRDefault="00DE2A6B" w:rsidP="00DE2A6B">
          <w:pPr>
            <w:pStyle w:val="31E3ED1B8C5D4E5F964ED93C36DBD2A2"/>
          </w:pPr>
          <w:r w:rsidRPr="007D6915">
            <w:rPr>
              <w:rStyle w:val="PlaceholderText"/>
            </w:rPr>
            <w:t>Click or tap here to enter text.</w:t>
          </w:r>
        </w:p>
      </w:docPartBody>
    </w:docPart>
    <w:docPart>
      <w:docPartPr>
        <w:name w:val="CC62737423094348A3BA2A404BD69587"/>
        <w:category>
          <w:name w:val="General"/>
          <w:gallery w:val="placeholder"/>
        </w:category>
        <w:types>
          <w:type w:val="bbPlcHdr"/>
        </w:types>
        <w:behaviors>
          <w:behavior w:val="content"/>
        </w:behaviors>
        <w:guid w:val="{991393BF-E1B1-4A46-AEAC-EA9611556D9A}"/>
      </w:docPartPr>
      <w:docPartBody>
        <w:p w:rsidR="00A83385" w:rsidRDefault="00DE2A6B" w:rsidP="00DE2A6B">
          <w:pPr>
            <w:pStyle w:val="CC62737423094348A3BA2A404BD69587"/>
          </w:pPr>
          <w:r w:rsidRPr="007D6915">
            <w:rPr>
              <w:rStyle w:val="PlaceholderText"/>
            </w:rPr>
            <w:t>Click or tap here to enter text.</w:t>
          </w:r>
        </w:p>
      </w:docPartBody>
    </w:docPart>
    <w:docPart>
      <w:docPartPr>
        <w:name w:val="CF91510546E848A49CB5FBA8A3541CC3"/>
        <w:category>
          <w:name w:val="General"/>
          <w:gallery w:val="placeholder"/>
        </w:category>
        <w:types>
          <w:type w:val="bbPlcHdr"/>
        </w:types>
        <w:behaviors>
          <w:behavior w:val="content"/>
        </w:behaviors>
        <w:guid w:val="{8A23784F-B361-4AAD-BB14-F6B9CF15FF59}"/>
      </w:docPartPr>
      <w:docPartBody>
        <w:p w:rsidR="00A83385" w:rsidRDefault="00DE2A6B" w:rsidP="00DE2A6B">
          <w:pPr>
            <w:pStyle w:val="CF91510546E848A49CB5FBA8A3541CC3"/>
          </w:pPr>
          <w:r w:rsidRPr="007D6915">
            <w:rPr>
              <w:rStyle w:val="PlaceholderText"/>
            </w:rPr>
            <w:t>Click or tap here to enter text.</w:t>
          </w:r>
        </w:p>
      </w:docPartBody>
    </w:docPart>
    <w:docPart>
      <w:docPartPr>
        <w:name w:val="1D69FC5D8827472AA771D893E68A6CA8"/>
        <w:category>
          <w:name w:val="General"/>
          <w:gallery w:val="placeholder"/>
        </w:category>
        <w:types>
          <w:type w:val="bbPlcHdr"/>
        </w:types>
        <w:behaviors>
          <w:behavior w:val="content"/>
        </w:behaviors>
        <w:guid w:val="{FB06D345-18F7-454A-BB8C-551ECB76D5C7}"/>
      </w:docPartPr>
      <w:docPartBody>
        <w:p w:rsidR="00A83385" w:rsidRDefault="00DE2A6B" w:rsidP="00DE2A6B">
          <w:pPr>
            <w:pStyle w:val="1D69FC5D8827472AA771D893E68A6CA8"/>
          </w:pPr>
          <w:r w:rsidRPr="007D6915">
            <w:rPr>
              <w:rStyle w:val="PlaceholderText"/>
            </w:rPr>
            <w:t>Click or tap here to enter text.</w:t>
          </w:r>
        </w:p>
      </w:docPartBody>
    </w:docPart>
    <w:docPart>
      <w:docPartPr>
        <w:name w:val="D5A05722A31F47E08EDD7B1FB422301B"/>
        <w:category>
          <w:name w:val="General"/>
          <w:gallery w:val="placeholder"/>
        </w:category>
        <w:types>
          <w:type w:val="bbPlcHdr"/>
        </w:types>
        <w:behaviors>
          <w:behavior w:val="content"/>
        </w:behaviors>
        <w:guid w:val="{CDA15FDF-0702-41FB-BFF5-429590CB438B}"/>
      </w:docPartPr>
      <w:docPartBody>
        <w:p w:rsidR="00A83385" w:rsidRDefault="00DE2A6B" w:rsidP="00DE2A6B">
          <w:pPr>
            <w:pStyle w:val="D5A05722A31F47E08EDD7B1FB422301B"/>
          </w:pPr>
          <w:r w:rsidRPr="007D6915">
            <w:rPr>
              <w:rStyle w:val="PlaceholderText"/>
            </w:rPr>
            <w:t>Click or tap here to enter text.</w:t>
          </w:r>
        </w:p>
      </w:docPartBody>
    </w:docPart>
    <w:docPart>
      <w:docPartPr>
        <w:name w:val="024ED81F9DD740A8B9DA7F682AD41C50"/>
        <w:category>
          <w:name w:val="General"/>
          <w:gallery w:val="placeholder"/>
        </w:category>
        <w:types>
          <w:type w:val="bbPlcHdr"/>
        </w:types>
        <w:behaviors>
          <w:behavior w:val="content"/>
        </w:behaviors>
        <w:guid w:val="{3EFF670E-AD59-4F1E-BFA2-40702B146544}"/>
      </w:docPartPr>
      <w:docPartBody>
        <w:p w:rsidR="00A83385" w:rsidRDefault="00DE2A6B" w:rsidP="00DE2A6B">
          <w:pPr>
            <w:pStyle w:val="024ED81F9DD740A8B9DA7F682AD41C50"/>
          </w:pPr>
          <w:r w:rsidRPr="007D6915">
            <w:rPr>
              <w:rStyle w:val="PlaceholderText"/>
            </w:rPr>
            <w:t>Click or tap here to enter text.</w:t>
          </w:r>
        </w:p>
      </w:docPartBody>
    </w:docPart>
    <w:docPart>
      <w:docPartPr>
        <w:name w:val="E08F7031C0ED4C548EF18C3D752F6CE3"/>
        <w:category>
          <w:name w:val="General"/>
          <w:gallery w:val="placeholder"/>
        </w:category>
        <w:types>
          <w:type w:val="bbPlcHdr"/>
        </w:types>
        <w:behaviors>
          <w:behavior w:val="content"/>
        </w:behaviors>
        <w:guid w:val="{B062F7CF-A8D9-4B2E-A42D-2D719D6062C2}"/>
      </w:docPartPr>
      <w:docPartBody>
        <w:p w:rsidR="00A83385" w:rsidRDefault="00DE2A6B" w:rsidP="00DE2A6B">
          <w:pPr>
            <w:pStyle w:val="E08F7031C0ED4C548EF18C3D752F6CE3"/>
          </w:pPr>
          <w:r w:rsidRPr="007D6915">
            <w:rPr>
              <w:rStyle w:val="PlaceholderText"/>
            </w:rPr>
            <w:t>Click or tap here to enter text.</w:t>
          </w:r>
        </w:p>
      </w:docPartBody>
    </w:docPart>
    <w:docPart>
      <w:docPartPr>
        <w:name w:val="979125E5EA4B444394E189BEAA36B986"/>
        <w:category>
          <w:name w:val="General"/>
          <w:gallery w:val="placeholder"/>
        </w:category>
        <w:types>
          <w:type w:val="bbPlcHdr"/>
        </w:types>
        <w:behaviors>
          <w:behavior w:val="content"/>
        </w:behaviors>
        <w:guid w:val="{6D1F005E-5A79-4920-995B-3C5387038622}"/>
      </w:docPartPr>
      <w:docPartBody>
        <w:p w:rsidR="00A83385" w:rsidRDefault="00DE2A6B" w:rsidP="00DE2A6B">
          <w:pPr>
            <w:pStyle w:val="979125E5EA4B444394E189BEAA36B986"/>
          </w:pPr>
          <w:r w:rsidRPr="007D6915">
            <w:rPr>
              <w:rStyle w:val="PlaceholderText"/>
            </w:rPr>
            <w:t>Click or tap here to enter text.</w:t>
          </w:r>
        </w:p>
      </w:docPartBody>
    </w:docPart>
    <w:docPart>
      <w:docPartPr>
        <w:name w:val="206C574C60D64545A4CF526C1DBDFC4A"/>
        <w:category>
          <w:name w:val="General"/>
          <w:gallery w:val="placeholder"/>
        </w:category>
        <w:types>
          <w:type w:val="bbPlcHdr"/>
        </w:types>
        <w:behaviors>
          <w:behavior w:val="content"/>
        </w:behaviors>
        <w:guid w:val="{D7589F77-72EC-45EA-B9AA-B114323AC20C}"/>
      </w:docPartPr>
      <w:docPartBody>
        <w:p w:rsidR="00A83385" w:rsidRDefault="00DE2A6B" w:rsidP="00DE2A6B">
          <w:pPr>
            <w:pStyle w:val="206C574C60D64545A4CF526C1DBDFC4A"/>
          </w:pPr>
          <w:r w:rsidRPr="003F05DD">
            <w:rPr>
              <w:rStyle w:val="PlaceholderText"/>
            </w:rPr>
            <w:t>Click or tap here to enter text.</w:t>
          </w:r>
        </w:p>
      </w:docPartBody>
    </w:docPart>
    <w:docPart>
      <w:docPartPr>
        <w:name w:val="AC5A1E6409AE4278BE9F727ECFB10F13"/>
        <w:category>
          <w:name w:val="General"/>
          <w:gallery w:val="placeholder"/>
        </w:category>
        <w:types>
          <w:type w:val="bbPlcHdr"/>
        </w:types>
        <w:behaviors>
          <w:behavior w:val="content"/>
        </w:behaviors>
        <w:guid w:val="{583FCDAE-25AD-4F78-979F-BDCA8BF51B96}"/>
      </w:docPartPr>
      <w:docPartBody>
        <w:p w:rsidR="00A83385" w:rsidRDefault="00DE2A6B" w:rsidP="00DE2A6B">
          <w:pPr>
            <w:pStyle w:val="AC5A1E6409AE4278BE9F727ECFB10F13"/>
          </w:pPr>
          <w:r w:rsidRPr="007D3A12">
            <w:rPr>
              <w:rStyle w:val="PlaceholderText"/>
            </w:rPr>
            <w:t>Click or tap here to enter text.</w:t>
          </w:r>
        </w:p>
      </w:docPartBody>
    </w:docPart>
    <w:docPart>
      <w:docPartPr>
        <w:name w:val="F8988425F43A43FC8128AB297A2F446C"/>
        <w:category>
          <w:name w:val="General"/>
          <w:gallery w:val="placeholder"/>
        </w:category>
        <w:types>
          <w:type w:val="bbPlcHdr"/>
        </w:types>
        <w:behaviors>
          <w:behavior w:val="content"/>
        </w:behaviors>
        <w:guid w:val="{7CA45BEA-C020-40CB-8F74-C8F70CD96161}"/>
      </w:docPartPr>
      <w:docPartBody>
        <w:p w:rsidR="00A83385" w:rsidRDefault="00DE2A6B" w:rsidP="00DE2A6B">
          <w:pPr>
            <w:pStyle w:val="F8988425F43A43FC8128AB297A2F446C"/>
          </w:pPr>
          <w:r w:rsidRPr="007D6915">
            <w:rPr>
              <w:rStyle w:val="PlaceholderText"/>
            </w:rPr>
            <w:t>Click or tap here to enter text.</w:t>
          </w:r>
        </w:p>
      </w:docPartBody>
    </w:docPart>
    <w:docPart>
      <w:docPartPr>
        <w:name w:val="0890C8A736644B5689921F075BC90581"/>
        <w:category>
          <w:name w:val="General"/>
          <w:gallery w:val="placeholder"/>
        </w:category>
        <w:types>
          <w:type w:val="bbPlcHdr"/>
        </w:types>
        <w:behaviors>
          <w:behavior w:val="content"/>
        </w:behaviors>
        <w:guid w:val="{3516D75C-EB5E-4E99-936C-4AFE872D1836}"/>
      </w:docPartPr>
      <w:docPartBody>
        <w:p w:rsidR="00A83385" w:rsidRDefault="00DE2A6B" w:rsidP="00DE2A6B">
          <w:pPr>
            <w:pStyle w:val="0890C8A736644B5689921F075BC90581"/>
          </w:pPr>
          <w:r w:rsidRPr="007D6915">
            <w:rPr>
              <w:rStyle w:val="PlaceholderText"/>
            </w:rPr>
            <w:t>Click or tap here to enter text.</w:t>
          </w:r>
        </w:p>
      </w:docPartBody>
    </w:docPart>
    <w:docPart>
      <w:docPartPr>
        <w:name w:val="999CC64B8A05416EA18E92B4EEFEAE84"/>
        <w:category>
          <w:name w:val="General"/>
          <w:gallery w:val="placeholder"/>
        </w:category>
        <w:types>
          <w:type w:val="bbPlcHdr"/>
        </w:types>
        <w:behaviors>
          <w:behavior w:val="content"/>
        </w:behaviors>
        <w:guid w:val="{9C0EAA2C-BF44-4429-A16E-95C628620B93}"/>
      </w:docPartPr>
      <w:docPartBody>
        <w:p w:rsidR="00A83385" w:rsidRDefault="00DE2A6B" w:rsidP="00DE2A6B">
          <w:pPr>
            <w:pStyle w:val="999CC64B8A05416EA18E92B4EEFEAE84"/>
          </w:pPr>
          <w:r w:rsidRPr="007D6915">
            <w:rPr>
              <w:rStyle w:val="PlaceholderText"/>
            </w:rPr>
            <w:t>Click or tap here to enter text.</w:t>
          </w:r>
        </w:p>
      </w:docPartBody>
    </w:docPart>
    <w:docPart>
      <w:docPartPr>
        <w:name w:val="D83FB96D2CC1484CA05DC4101CC77D53"/>
        <w:category>
          <w:name w:val="General"/>
          <w:gallery w:val="placeholder"/>
        </w:category>
        <w:types>
          <w:type w:val="bbPlcHdr"/>
        </w:types>
        <w:behaviors>
          <w:behavior w:val="content"/>
        </w:behaviors>
        <w:guid w:val="{3C371D02-0CC7-4997-974F-A9B98DDD79DF}"/>
      </w:docPartPr>
      <w:docPartBody>
        <w:p w:rsidR="00A83385" w:rsidRDefault="00DE2A6B" w:rsidP="00DE2A6B">
          <w:pPr>
            <w:pStyle w:val="D83FB96D2CC1484CA05DC4101CC77D53"/>
          </w:pPr>
          <w:r w:rsidRPr="007D6915">
            <w:rPr>
              <w:rStyle w:val="PlaceholderText"/>
            </w:rPr>
            <w:t>Click or tap here to enter text.</w:t>
          </w:r>
        </w:p>
      </w:docPartBody>
    </w:docPart>
    <w:docPart>
      <w:docPartPr>
        <w:name w:val="CDC66ABC8B924809B6325012F0F72FBB"/>
        <w:category>
          <w:name w:val="General"/>
          <w:gallery w:val="placeholder"/>
        </w:category>
        <w:types>
          <w:type w:val="bbPlcHdr"/>
        </w:types>
        <w:behaviors>
          <w:behavior w:val="content"/>
        </w:behaviors>
        <w:guid w:val="{0CF5AF7E-AE66-4796-BF0A-45D665E072D4}"/>
      </w:docPartPr>
      <w:docPartBody>
        <w:p w:rsidR="00A83385" w:rsidRDefault="00DE2A6B" w:rsidP="00DE2A6B">
          <w:pPr>
            <w:pStyle w:val="CDC66ABC8B924809B6325012F0F72FBB"/>
          </w:pPr>
          <w:r w:rsidRPr="00605CA1">
            <w:rPr>
              <w:rStyle w:val="PlaceholderText"/>
            </w:rPr>
            <w:t>Click or tap here to enter text.</w:t>
          </w:r>
        </w:p>
      </w:docPartBody>
    </w:docPart>
    <w:docPart>
      <w:docPartPr>
        <w:name w:val="69776D1EAA984CE2A50532202B57AC88"/>
        <w:category>
          <w:name w:val="General"/>
          <w:gallery w:val="placeholder"/>
        </w:category>
        <w:types>
          <w:type w:val="bbPlcHdr"/>
        </w:types>
        <w:behaviors>
          <w:behavior w:val="content"/>
        </w:behaviors>
        <w:guid w:val="{2C8FF8B4-A778-4B7A-A1DB-208FBFA2C09F}"/>
      </w:docPartPr>
      <w:docPartBody>
        <w:p w:rsidR="00A83385" w:rsidRDefault="00DE2A6B" w:rsidP="00DE2A6B">
          <w:pPr>
            <w:pStyle w:val="69776D1EAA984CE2A50532202B57AC88"/>
          </w:pPr>
          <w:r w:rsidRPr="007D691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MR10">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Nikosh">
    <w:charset w:val="00"/>
    <w:family w:val="auto"/>
    <w:pitch w:val="variable"/>
    <w:sig w:usb0="00018003" w:usb1="00000000" w:usb2="00000000" w:usb3="00000000" w:csb0="00000001" w:csb1="00000000"/>
  </w:font>
  <w:font w:name="SutonnyMJ">
    <w:panose1 w:val="00000000000000000000"/>
    <w:charset w:val="00"/>
    <w:family w:val="auto"/>
    <w:pitch w:val="variable"/>
    <w:sig w:usb0="00000003" w:usb1="00000000" w:usb2="00000000" w:usb3="00000000" w:csb0="00000001" w:csb1="00000000"/>
  </w:font>
  <w:font w:name="NikoshBAN">
    <w:panose1 w:val="00000000000000000000"/>
    <w:charset w:val="00"/>
    <w:family w:val="auto"/>
    <w:notTrueType/>
    <w:pitch w:val="variable"/>
    <w:sig w:usb0="00000003" w:usb1="00000000" w:usb2="00000000" w:usb3="00000000" w:csb0="00000001" w:csb1="00000000"/>
  </w:font>
  <w:font w:name="Charter BT">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A6B"/>
    <w:rsid w:val="000171D0"/>
    <w:rsid w:val="001753F2"/>
    <w:rsid w:val="00282097"/>
    <w:rsid w:val="005A02FA"/>
    <w:rsid w:val="006551EB"/>
    <w:rsid w:val="00837555"/>
    <w:rsid w:val="0089760A"/>
    <w:rsid w:val="00A301D1"/>
    <w:rsid w:val="00A83385"/>
    <w:rsid w:val="00B77CD0"/>
    <w:rsid w:val="00C27125"/>
    <w:rsid w:val="00C85F31"/>
    <w:rsid w:val="00DE2A6B"/>
    <w:rsid w:val="00DE445F"/>
  </w:rsids>
  <m:mathPr>
    <m:mathFont m:val="Cambria Math"/>
    <m:brkBin m:val="before"/>
    <m:brkBinSub m:val="--"/>
    <m:smallFrac m:val="0"/>
    <m:dispDef/>
    <m:lMargin m:val="0"/>
    <m:rMargin m:val="0"/>
    <m:defJc m:val="centerGroup"/>
    <m:wrapIndent m:val="1440"/>
    <m:intLim m:val="subSup"/>
    <m:naryLim m:val="undOvr"/>
  </m:mathPr>
  <w:themeFontLang w:val="en-SG" w:bidi="bn-B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SG" w:eastAsia="en-SG" w:bidi="bn-BD"/>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2A6B"/>
    <w:rPr>
      <w:color w:val="808080"/>
    </w:rPr>
  </w:style>
  <w:style w:type="paragraph" w:customStyle="1" w:styleId="31E3ED1B8C5D4E5F964ED93C36DBD2A2">
    <w:name w:val="31E3ED1B8C5D4E5F964ED93C36DBD2A2"/>
    <w:rsid w:val="00DE2A6B"/>
  </w:style>
  <w:style w:type="paragraph" w:customStyle="1" w:styleId="CC62737423094348A3BA2A404BD69587">
    <w:name w:val="CC62737423094348A3BA2A404BD69587"/>
    <w:rsid w:val="00DE2A6B"/>
  </w:style>
  <w:style w:type="paragraph" w:customStyle="1" w:styleId="CF91510546E848A49CB5FBA8A3541CC3">
    <w:name w:val="CF91510546E848A49CB5FBA8A3541CC3"/>
    <w:rsid w:val="00DE2A6B"/>
  </w:style>
  <w:style w:type="paragraph" w:customStyle="1" w:styleId="1D69FC5D8827472AA771D893E68A6CA8">
    <w:name w:val="1D69FC5D8827472AA771D893E68A6CA8"/>
    <w:rsid w:val="00DE2A6B"/>
  </w:style>
  <w:style w:type="paragraph" w:customStyle="1" w:styleId="D5A05722A31F47E08EDD7B1FB422301B">
    <w:name w:val="D5A05722A31F47E08EDD7B1FB422301B"/>
    <w:rsid w:val="00DE2A6B"/>
  </w:style>
  <w:style w:type="paragraph" w:customStyle="1" w:styleId="024ED81F9DD740A8B9DA7F682AD41C50">
    <w:name w:val="024ED81F9DD740A8B9DA7F682AD41C50"/>
    <w:rsid w:val="00DE2A6B"/>
  </w:style>
  <w:style w:type="paragraph" w:customStyle="1" w:styleId="E08F7031C0ED4C548EF18C3D752F6CE3">
    <w:name w:val="E08F7031C0ED4C548EF18C3D752F6CE3"/>
    <w:rsid w:val="00DE2A6B"/>
  </w:style>
  <w:style w:type="paragraph" w:customStyle="1" w:styleId="979125E5EA4B444394E189BEAA36B986">
    <w:name w:val="979125E5EA4B444394E189BEAA36B986"/>
    <w:rsid w:val="00DE2A6B"/>
  </w:style>
  <w:style w:type="paragraph" w:customStyle="1" w:styleId="206C574C60D64545A4CF526C1DBDFC4A">
    <w:name w:val="206C574C60D64545A4CF526C1DBDFC4A"/>
    <w:rsid w:val="00DE2A6B"/>
  </w:style>
  <w:style w:type="paragraph" w:customStyle="1" w:styleId="AC5A1E6409AE4278BE9F727ECFB10F13">
    <w:name w:val="AC5A1E6409AE4278BE9F727ECFB10F13"/>
    <w:rsid w:val="00DE2A6B"/>
  </w:style>
  <w:style w:type="paragraph" w:customStyle="1" w:styleId="F8988425F43A43FC8128AB297A2F446C">
    <w:name w:val="F8988425F43A43FC8128AB297A2F446C"/>
    <w:rsid w:val="00DE2A6B"/>
  </w:style>
  <w:style w:type="paragraph" w:customStyle="1" w:styleId="0890C8A736644B5689921F075BC90581">
    <w:name w:val="0890C8A736644B5689921F075BC90581"/>
    <w:rsid w:val="00DE2A6B"/>
  </w:style>
  <w:style w:type="paragraph" w:customStyle="1" w:styleId="999CC64B8A05416EA18E92B4EEFEAE84">
    <w:name w:val="999CC64B8A05416EA18E92B4EEFEAE84"/>
    <w:rsid w:val="00DE2A6B"/>
  </w:style>
  <w:style w:type="paragraph" w:customStyle="1" w:styleId="D83FB96D2CC1484CA05DC4101CC77D53">
    <w:name w:val="D83FB96D2CC1484CA05DC4101CC77D53"/>
    <w:rsid w:val="00DE2A6B"/>
  </w:style>
  <w:style w:type="paragraph" w:customStyle="1" w:styleId="CDC66ABC8B924809B6325012F0F72FBB">
    <w:name w:val="CDC66ABC8B924809B6325012F0F72FBB"/>
    <w:rsid w:val="00DE2A6B"/>
  </w:style>
  <w:style w:type="paragraph" w:customStyle="1" w:styleId="69776D1EAA984CE2A50532202B57AC88">
    <w:name w:val="69776D1EAA984CE2A50532202B57AC88"/>
    <w:rsid w:val="00DE2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Goo14</b:Tag>
    <b:SourceType>JournalArticle</b:SourceType>
    <b:Guid>{EDD0BB9B-1599-412E-B423-9A09AA0C2B55}</b:Guid>
    <b:Author>
      <b:Author>
        <b:Corporate>Goodnough, L. T., &amp; Shah, N.</b:Corporate>
      </b:Author>
    </b:Author>
    <b:Title>Evaluation and management of anemia in the elderly</b:Title>
    <b:JournalName>American Journal of Hematology</b:JournalName>
    <b:Year>2014</b:Year>
    <b:Pages>88-96</b:Pages>
    <b:RefOrder>1</b:RefOrder>
  </b:Source>
  <b:Source>
    <b:Tag>Bao19</b:Tag>
    <b:SourceType>JournalArticle</b:SourceType>
    <b:Guid>{8E1FF9C8-7542-448F-A2A8-953D41BBA75E}</b:Guid>
    <b:Author>
      <b:Author>
        <b:Corporate>Bao, Y., Ma, X., Yang, R., Wang, Y., Wang, F., Zhou, J., Wang, T., &amp; Zhao, X</b:Corporate>
      </b:Author>
    </b:Author>
    <b:Title>Association between red blood cell distribution width and all-cause mortality in patients with cardiovascular disease: a systematic review and meta-analysis of cohort studies</b:Title>
    <b:JournalName>Journal of Clinical Laboratory Analysis</b:JournalName>
    <b:Year>2019</b:Year>
    <b:RefOrder>2</b:RefOrder>
  </b:Source>
  <b:Source>
    <b:Tag>Men20</b:Tag>
    <b:SourceType>JournalArticle</b:SourceType>
    <b:Guid>{36AA2572-4903-431D-B00C-EFAFD063145C}</b:Guid>
    <b:Author>
      <b:Author>
        <b:Corporate>Menter, T., Frey, N., Zoller, H., Steiner, D., Staub, D., &amp; Mattle, H. P.</b:Corporate>
      </b:Author>
    </b:Author>
    <b:Title>Association between platelet count and spontaneous intracerebral hemorrhage: systematic review and meta-analysis</b:Title>
    <b:JournalName> Journal of Stroke and Cerebrovascular Diseases</b:JournalName>
    <b:Year>2020</b:Year>
    <b:RefOrder>3</b:RefOrder>
  </b:Source>
  <b:Source>
    <b:Tag>LiJ20</b:Tag>
    <b:SourceType>JournalArticle</b:SourceType>
    <b:Guid>{1FDFE455-51C1-481A-A5F9-B4D43679FFD7}</b:Guid>
    <b:Author>
      <b:Author>
        <b:Corporate>Li, J., Li, G., Wang, Y., Li, H., Li, X., Guan, J., ... &amp; Zhuang, J</b:Corporate>
      </b:Author>
    </b:Author>
    <b:Title>Association of platelet count with white blood cell count and non-alcoholic fatty liver disease in the general population: a cross-sectional study</b:Title>
    <b:JournalName>BMJ Open</b:JournalName>
    <b:Year>2020</b:Year>
    <b:RefOrder>4</b:RefOrder>
  </b:Source>
  <b:Source>
    <b:Tag>Cam131</b:Tag>
    <b:SourceType>JournalArticle</b:SourceType>
    <b:Guid>{145B20BA-D44E-41F8-AF53-4345A790495F}</b:Guid>
    <b:Author>
      <b:Author>
        <b:Corporate>Cameron, A. C., &amp; Trivedi, P. K.</b:Corporate>
      </b:Author>
    </b:Author>
    <b:Title>Regression analysis of count data</b:Title>
    <b:JournalName>Cambridge University Press</b:JournalName>
    <b:Year>2013</b:Year>
    <b:RefOrder>5</b:RefOrder>
  </b:Source>
  <b:Source>
    <b:Tag>Wie14</b:Tag>
    <b:SourceType>JournalArticle</b:SourceType>
    <b:Guid>{0FC4F25E-E3D4-4A9C-AA45-C57DC7E07D47}</b:Guid>
    <b:Author>
      <b:Author>
        <b:Corporate>Wieringa, J. W., &amp; Geskus, R. B.</b:Corporate>
      </b:Author>
    </b:Author>
    <b:Title>A tutorial on mixed-effects regression models for longitudinal count data.</b:Title>
    <b:Year>2014</b:Year>
    <b:Publisher>International Journal of Epidemiology</b:Publisher>
    <b:JournalName>International Journal of Epidemiology.</b:JournalName>
    <b:Pages>456-467</b:Pages>
    <b:RefOrder>6</b:RefOrder>
  </b:Source>
  <b:Source>
    <b:Tag>McF19</b:Tag>
    <b:SourceType>JournalArticle</b:SourceType>
    <b:Guid>{99B18FBC-BE4A-4880-A254-CB8EE05D2625}</b:Guid>
    <b:Author>
      <b:Author>
        <b:Corporate>McFadden, S. L., &amp; Sternberg, J. C.</b:Corporate>
      </b:Author>
    </b:Author>
    <b:Title>Count models in epidemiology.</b:Title>
    <b:JournalName>Journal of Epidemiology and Community Health</b:JournalName>
    <b:Year>2019</b:Year>
    <b:Pages>952-958</b:Pages>
    <b:RefOrder>7</b:RefOrder>
  </b:Source>
  <b:Source>
    <b:Tag>Liu20</b:Tag>
    <b:SourceType>JournalArticle</b:SourceType>
    <b:Guid>{52372029-3F9C-4A86-9AF8-A0459DEA4DBA}</b:Guid>
    <b:Author>
      <b:Author>
        <b:Corporate>Liu et al.</b:Corporate>
      </b:Author>
    </b:Author>
    <b:Title>Association of Platelet Count with Mortality in COVID-19 Patients: Retrospective Cohort Study</b:Title>
    <b:JournalName>The Journal of Thrombosis and Haemostasis.</b:JournalName>
    <b:Year>2020</b:Year>
    <b:RefOrder>8</b:RefOrder>
  </b:Source>
  <b:Source>
    <b:Tag>Cam13</b:Tag>
    <b:SourceType>Book</b:SourceType>
    <b:Guid>{A57C6FF9-58A2-49CC-B8C1-EE996E857C1E}</b:Guid>
    <b:Author>
      <b:Author>
        <b:Corporate>Cameron, A. C., &amp; Trivedi, P. K.</b:Corporate>
      </b:Author>
    </b:Author>
    <b:Title>Regression analysis of count data</b:Title>
    <b:Year>2013</b:Year>
    <b:Publisher>Cambridge University Press.</b:Publisher>
    <b:RefOrder>9</b:RefOrder>
  </b:Source>
  <b:Source>
    <b:Tag>Hil14</b:Tag>
    <b:SourceType>Book</b:SourceType>
    <b:Guid>{E2E2F8AC-21EA-40BC-A2F2-BA73B4997E8D}</b:Guid>
    <b:Title>Modeling count data.</b:Title>
    <b:Year>2014</b:Year>
    <b:Author>
      <b:Author>
        <b:Corporate>Hilbe, J. M.</b:Corporate>
      </b:Author>
    </b:Author>
    <b:Publisher>Cambridge University Press.</b:Publisher>
    <b:RefOrder>10</b:RefOrder>
  </b:Source>
  <b:Source>
    <b:Tag>Zei08</b:Tag>
    <b:SourceType>JournalArticle</b:SourceType>
    <b:Guid>{6A7645A2-747B-4DC2-81B2-C3C965D48CB7}</b:Guid>
    <b:Title>Regression models for count data in R</b:Title>
    <b:Year>2008</b:Year>
    <b:Author>
      <b:Author>
        <b:Corporate>Zeileis, A., Kleiber, C., &amp; Jackman, S.</b:Corporate>
      </b:Author>
    </b:Author>
    <b:JournalName>Journal of Statistical Software</b:JournalName>
    <b:Pages>1-25.</b:Pages>
    <b:RefOrder>11</b:RefOrder>
  </b:Source>
  <b:Source>
    <b:Tag>Bur04</b:Tag>
    <b:SourceType>JournalArticle</b:SourceType>
    <b:Guid>{11ABB721-3873-4F15-BA96-8A26FEEA2E53}</b:Guid>
    <b:Author>
      <b:Author>
        <b:Corporate>Burnham, K. P., &amp; Anderson, D. R.</b:Corporate>
      </b:Author>
    </b:Author>
    <b:Title>Multimodel inference: understanding AIC and BIC in model selection. </b:Title>
    <b:JournalName>Sociological Methods &amp; Research</b:JournalName>
    <b:Year>2004</b:Year>
    <b:Pages> 261-304.</b:Pages>
    <b:RefOrder>12</b:RefOrder>
  </b:Source>
  <b:Source>
    <b:Tag>Kon08</b:Tag>
    <b:SourceType>JournalArticle</b:SourceType>
    <b:Guid>{8D7E345E-10FB-4F7D-905E-91E1A7193590}</b:Guid>
    <b:Author>
      <b:Author>
        <b:Corporate>Konishi, S., &amp; Kitagawa, G</b:Corporate>
      </b:Author>
    </b:Author>
    <b:Title>Information criteria and statistical modeling.</b:Title>
    <b:JournalName>Springer Science &amp; Business Media.</b:JournalName>
    <b:Year>2008</b:Year>
    <b:RefOrder>13</b:RefOrder>
  </b:Source>
  <b:Source>
    <b:Tag>Zou041</b:Tag>
    <b:SourceType>JournalArticle</b:SourceType>
    <b:Guid>{3323A263-9D40-47E3-993F-1A38FC150987}</b:Guid>
    <b:Author>
      <b:Author>
        <b:Corporate>Zou, G. </b:Corporate>
      </b:Author>
    </b:Author>
    <b:Title>A modified Poisson regression approach to prospective studies with binary data.</b:Title>
    <b:JournalName>American Journal of Epidemiology</b:JournalName>
    <b:Year>2004</b:Year>
    <b:Pages>702-706.</b:Pages>
    <b:RefOrder>14</b:RefOrder>
  </b:Source>
  <b:Source>
    <b:Tag>Fer04</b:Tag>
    <b:SourceType>JournalArticle</b:SourceType>
    <b:Guid>{E132543E-C0DF-484A-93F0-456FCE5AC2B4}</b:Guid>
    <b:Author>
      <b:Author>
        <b:Corporate>Ferrari, S. L., &amp; Cribari-Neto, F.</b:Corporate>
      </b:Author>
    </b:Author>
    <b:Title>Beta regression for modelling rates and proportions.</b:Title>
    <b:JournalName>Journal of Applied Statistics</b:JournalName>
    <b:Year>2004</b:Year>
    <b:Pages>799-815</b:Pages>
    <b:RefOrder>15</b:RefOrder>
  </b:Source>
  <b:Source>
    <b:Tag>McC18</b:Tag>
    <b:SourceType>Book</b:SourceType>
    <b:Guid>{DCE9C7A5-2656-4CA0-B0B7-5A7446EA1C43}</b:Guid>
    <b:Title>Generalized linear models</b:Title>
    <b:Year>2018</b:Year>
    <b:Author>
      <b:Author>
        <b:Corporate>McCullagh, P</b:Corporate>
      </b:Author>
    </b:Author>
    <b:Publisher>Routledge</b:Publisher>
    <b:RefOrder>17</b:RefOrder>
  </b:Source>
  <b:Source>
    <b:Tag>Zhe19</b:Tag>
    <b:SourceType>JournalArticle</b:SourceType>
    <b:Guid>{2002C3DE-98DD-4BD4-858A-7003CCDCD0FA}</b:Guid>
    <b:Author>
      <b:Author>
        <b:Corporate>Zheng, C., Li, X., Chen, Y., Wang, J., Sun, L., &amp; Zhang, J.</b:Corporate>
      </b:Author>
    </b:Author>
    <b:Title>Associations of Blood Glucose and Hemoglobin A1c Levels with Cardiovascular Disease Risk Factors among Chinese Adults</b:Title>
    <b:JournalName>International Journal of Environmental Research and Public Health</b:JournalName>
    <b:Year>2019</b:Year>
    <b:Pages>1659</b:Pages>
    <b:RefOrder>18</b:RefOrder>
  </b:Source>
  <b:Source>
    <b:Tag>Ban06</b:Tag>
    <b:SourceType>JournalArticle</b:SourceType>
    <b:Guid>{44B164DC-642A-4924-89E8-AB2A0D93D49E}</b:Guid>
    <b:Author>
      <b:Author>
        <b:Corporate>Banbury, M. K., Brizzio, M. E., Rajeswaran, J., Lytle, B. W., &amp; Blackstone, E. H</b:Corporate>
      </b:Author>
    </b:Author>
    <b:Title>Transfusion increases the risk of postoperative infection after cardiovascular surgery.</b:Title>
    <b:Year>2006</b:Year>
    <b:JournalName>Journal of the American College of Surgeons</b:JournalName>
    <b:Pages>131-138</b:Pages>
    <b:RefOrder>16</b:RefOrder>
  </b:Source>
  <b:Source>
    <b:Tag>Zou04</b:Tag>
    <b:SourceType>JournalArticle</b:SourceType>
    <b:Guid>{DFFC6EB7-8AF5-49B3-9ED8-7905DEAE7698}</b:Guid>
    <b:Author>
      <b:Author>
        <b:Corporate>Zou, G.</b:Corporate>
      </b:Author>
    </b:Author>
    <b:Title>A modified poisson regression approach to prospective studies with binary data.</b:Title>
    <b:JournalName>American journal of epidemiology</b:JournalName>
    <b:Year>2004</b:Year>
    <b:Pages>702-706.</b:Pages>
    <b:RefOrder>19</b:RefOrder>
  </b:Source>
  <b:Source>
    <b:Tag>Zei081</b:Tag>
    <b:SourceType>JournalArticle</b:SourceType>
    <b:Guid>{9E62BEA5-95BD-4A54-8D73-6AE63DA18BD5}</b:Guid>
    <b:Author>
      <b:Author>
        <b:Corporate>Zeileis, A., Kleiber, C. and Jackman, S.</b:Corporate>
      </b:Author>
    </b:Author>
    <b:Title> Regression Models for Count Data in R.</b:Title>
    <b:JournalName>Journal of Statistical Software</b:JournalName>
    <b:Year>2008</b:Year>
    <b:Pages>1-25</b:Pages>
    <b:RefOrder>20</b:RefOrder>
  </b:Source>
  <b:Source>
    <b:Tag>Smi06</b:Tag>
    <b:SourceType>JournalArticle</b:SourceType>
    <b:Guid>{F1DE1D16-1912-4221-B53E-5267900057E5}</b:Guid>
    <b:Author>
      <b:Author>
        <b:Corporate>Smithson, M. and Verkuilen, J.</b:Corporate>
      </b:Author>
    </b:Author>
    <b:Title>  A Better Lemon Squeezer? Maximum-Likelihood Regression with Beta-Distributed Dependent Variables</b:Title>
    <b:JournalName>Psychological Methods</b:JournalName>
    <b:Year>2006</b:Year>
    <b:Pages>54-71</b:Pages>
    <b:RefOrder>21</b:RefOrder>
  </b:Source>
</b:Sources>
</file>

<file path=customXml/itemProps1.xml><?xml version="1.0" encoding="utf-8"?>
<ds:datastoreItem xmlns:ds="http://schemas.openxmlformats.org/officeDocument/2006/customXml" ds:itemID="{54430320-0AC2-41E5-80AD-D2CE57CF7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23</Pages>
  <Words>7658</Words>
  <Characters>43652</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Moments of Skew Normal Vector Quadratic Froms</vt:lpstr>
    </vt:vector>
  </TitlesOfParts>
  <Company>ju</Company>
  <LinksUpToDate>false</LinksUpToDate>
  <CharactersWithSpaces>51208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Moments of Skew Normal Vector Quadratic Froms</dc:title>
  <dc:creator>rajib</dc:creator>
  <cp:lastModifiedBy>HP</cp:lastModifiedBy>
  <cp:revision>37</cp:revision>
  <cp:lastPrinted>2023-10-04T06:39:00Z</cp:lastPrinted>
  <dcterms:created xsi:type="dcterms:W3CDTF">2023-10-05T04:16:00Z</dcterms:created>
  <dcterms:modified xsi:type="dcterms:W3CDTF">2026-07-22T06:07:00Z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